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DE7" w:rsidRPr="00521513" w:rsidRDefault="009D5DE7" w:rsidP="009D5DE7">
      <w:pPr>
        <w:pStyle w:val="Heading1"/>
        <w:ind w:left="677"/>
        <w:rPr>
          <w:lang w:val="en-US"/>
        </w:rPr>
      </w:pPr>
      <w:r>
        <w:rPr>
          <w:color w:val="333333"/>
        </w:rPr>
        <w:t>Phụ lục</w:t>
      </w:r>
      <w:r>
        <w:rPr>
          <w:color w:val="333333"/>
          <w:lang w:val="en-US"/>
        </w:rPr>
        <w:t xml:space="preserve"> 1</w:t>
      </w:r>
    </w:p>
    <w:p w:rsidR="009D5DE7" w:rsidRPr="009D5DE7" w:rsidRDefault="00070837" w:rsidP="009D5DE7">
      <w:pPr>
        <w:spacing w:before="108"/>
        <w:ind w:right="1371"/>
        <w:jc w:val="center"/>
        <w:rPr>
          <w:b/>
          <w:color w:val="333333"/>
          <w:sz w:val="28"/>
          <w:lang w:val="en-US"/>
        </w:rPr>
      </w:pPr>
      <w:r>
        <w:rPr>
          <w:b/>
          <w:color w:val="333333"/>
          <w:sz w:val="28"/>
          <w:lang w:val="en-US"/>
        </w:rPr>
        <w:t>H</w:t>
      </w:r>
      <w:r w:rsidR="009D5DE7" w:rsidRPr="009D5DE7">
        <w:rPr>
          <w:b/>
          <w:color w:val="333333"/>
          <w:sz w:val="28"/>
          <w:lang w:val="en-US"/>
        </w:rPr>
        <w:t>ồ sơ, tài</w:t>
      </w:r>
      <w:bookmarkStart w:id="0" w:name="_GoBack"/>
      <w:bookmarkEnd w:id="0"/>
      <w:r w:rsidR="009D5DE7" w:rsidRPr="009D5DE7">
        <w:rPr>
          <w:b/>
          <w:color w:val="333333"/>
          <w:sz w:val="28"/>
          <w:lang w:val="en-US"/>
        </w:rPr>
        <w:t xml:space="preserve"> liệu kỹ thuật đối với cơ quan quản lý của địa phương</w:t>
      </w: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8779"/>
      </w:tblGrid>
      <w:tr w:rsidR="009D5DE7" w:rsidRPr="00377987" w:rsidTr="002D62B6">
        <w:trPr>
          <w:trHeight w:val="659"/>
        </w:trPr>
        <w:tc>
          <w:tcPr>
            <w:tcW w:w="696" w:type="dxa"/>
            <w:shd w:val="clear" w:color="auto" w:fill="FFC000"/>
          </w:tcPr>
          <w:p w:rsidR="009D5DE7" w:rsidRPr="00377987" w:rsidRDefault="009D5DE7" w:rsidP="002D62B6">
            <w:pPr>
              <w:pStyle w:val="TableParagraph"/>
              <w:spacing w:before="117"/>
              <w:ind w:left="155" w:right="148"/>
              <w:jc w:val="center"/>
              <w:rPr>
                <w:b/>
                <w:sz w:val="26"/>
                <w:szCs w:val="26"/>
              </w:rPr>
            </w:pPr>
            <w:r w:rsidRPr="00377987">
              <w:rPr>
                <w:b/>
                <w:color w:val="333333"/>
                <w:sz w:val="26"/>
                <w:szCs w:val="26"/>
              </w:rPr>
              <w:t>Stt</w:t>
            </w:r>
          </w:p>
        </w:tc>
        <w:tc>
          <w:tcPr>
            <w:tcW w:w="8779" w:type="dxa"/>
            <w:shd w:val="clear" w:color="auto" w:fill="FFC000"/>
          </w:tcPr>
          <w:p w:rsidR="009D5DE7" w:rsidRPr="00377987" w:rsidRDefault="009D5DE7" w:rsidP="002D62B6">
            <w:pPr>
              <w:pStyle w:val="TableParagraph"/>
              <w:spacing w:before="117"/>
              <w:ind w:left="3820" w:right="3811"/>
              <w:jc w:val="center"/>
              <w:rPr>
                <w:b/>
                <w:sz w:val="26"/>
                <w:szCs w:val="26"/>
              </w:rPr>
            </w:pPr>
            <w:r w:rsidRPr="00377987">
              <w:rPr>
                <w:b/>
                <w:color w:val="333333"/>
                <w:sz w:val="26"/>
                <w:szCs w:val="26"/>
              </w:rPr>
              <w:t>Nội dung</w:t>
            </w:r>
          </w:p>
        </w:tc>
      </w:tr>
      <w:tr w:rsidR="009D5DE7" w:rsidRPr="00377987" w:rsidTr="002D62B6">
        <w:trPr>
          <w:trHeight w:val="657"/>
        </w:trPr>
        <w:tc>
          <w:tcPr>
            <w:tcW w:w="9475" w:type="dxa"/>
            <w:gridSpan w:val="2"/>
          </w:tcPr>
          <w:p w:rsidR="009D5DE7" w:rsidRPr="00377987" w:rsidRDefault="009D5DE7" w:rsidP="002D62B6">
            <w:pPr>
              <w:pStyle w:val="TableParagraph"/>
              <w:spacing w:before="117"/>
              <w:rPr>
                <w:b/>
                <w:sz w:val="26"/>
                <w:szCs w:val="26"/>
              </w:rPr>
            </w:pPr>
            <w:r w:rsidRPr="00377987">
              <w:rPr>
                <w:b/>
                <w:sz w:val="26"/>
                <w:szCs w:val="26"/>
              </w:rPr>
              <w:t>I. Kiểm soát chất lượng và phòng chống sinh vật gây hại</w:t>
            </w:r>
          </w:p>
        </w:tc>
      </w:tr>
      <w:tr w:rsidR="009D5DE7" w:rsidRPr="00377987" w:rsidTr="002D62B6">
        <w:trPr>
          <w:trHeight w:val="736"/>
        </w:trPr>
        <w:tc>
          <w:tcPr>
            <w:tcW w:w="696" w:type="dxa"/>
          </w:tcPr>
          <w:p w:rsidR="009D5DE7" w:rsidRPr="00377987" w:rsidRDefault="009D5DE7" w:rsidP="002D62B6">
            <w:pPr>
              <w:pStyle w:val="TableParagraph"/>
              <w:ind w:left="10"/>
              <w:jc w:val="center"/>
              <w:rPr>
                <w:sz w:val="26"/>
                <w:szCs w:val="26"/>
              </w:rPr>
            </w:pPr>
            <w:r w:rsidRPr="00377987">
              <w:rPr>
                <w:sz w:val="26"/>
                <w:szCs w:val="26"/>
              </w:rPr>
              <w:t>1</w:t>
            </w:r>
          </w:p>
        </w:tc>
        <w:tc>
          <w:tcPr>
            <w:tcW w:w="8779" w:type="dxa"/>
          </w:tcPr>
          <w:p w:rsidR="009D5DE7" w:rsidRPr="00377987" w:rsidRDefault="009D5DE7" w:rsidP="002D62B6">
            <w:pPr>
              <w:pStyle w:val="TableParagraph"/>
              <w:spacing w:line="312" w:lineRule="auto"/>
              <w:ind w:right="96"/>
              <w:rPr>
                <w:sz w:val="26"/>
                <w:szCs w:val="26"/>
              </w:rPr>
            </w:pPr>
            <w:r w:rsidRPr="00377987">
              <w:rPr>
                <w:sz w:val="26"/>
                <w:szCs w:val="26"/>
              </w:rPr>
              <w:t xml:space="preserve">Báo cáo kết quả điều tra định kỳ sinh vật gây hại trên </w:t>
            </w:r>
            <w:r w:rsidRPr="00377987">
              <w:rPr>
                <w:sz w:val="26"/>
                <w:szCs w:val="26"/>
                <w:lang w:val="vi-VN"/>
              </w:rPr>
              <w:t>dừa</w:t>
            </w:r>
            <w:r w:rsidRPr="00377987">
              <w:rPr>
                <w:sz w:val="26"/>
                <w:szCs w:val="26"/>
              </w:rPr>
              <w:t xml:space="preserve"> (tuần, tháng, quý và năm).</w:t>
            </w:r>
          </w:p>
        </w:tc>
      </w:tr>
      <w:tr w:rsidR="009D5DE7" w:rsidRPr="00377987" w:rsidTr="002D62B6">
        <w:trPr>
          <w:trHeight w:val="466"/>
        </w:trPr>
        <w:tc>
          <w:tcPr>
            <w:tcW w:w="696" w:type="dxa"/>
          </w:tcPr>
          <w:p w:rsidR="009D5DE7" w:rsidRPr="00377987" w:rsidRDefault="009D5DE7" w:rsidP="002D62B6">
            <w:pPr>
              <w:pStyle w:val="TableParagraph"/>
              <w:ind w:left="10"/>
              <w:jc w:val="center"/>
              <w:rPr>
                <w:sz w:val="26"/>
                <w:szCs w:val="26"/>
                <w:lang w:val="vi-VN"/>
              </w:rPr>
            </w:pPr>
            <w:r w:rsidRPr="00377987">
              <w:rPr>
                <w:sz w:val="26"/>
                <w:szCs w:val="26"/>
                <w:lang w:val="vi-VN"/>
              </w:rPr>
              <w:t>2</w:t>
            </w:r>
          </w:p>
        </w:tc>
        <w:tc>
          <w:tcPr>
            <w:tcW w:w="8779" w:type="dxa"/>
          </w:tcPr>
          <w:p w:rsidR="009D5DE7" w:rsidRPr="00377987" w:rsidRDefault="009D5DE7" w:rsidP="002D62B6">
            <w:pPr>
              <w:pStyle w:val="TableParagraph"/>
              <w:spacing w:line="312" w:lineRule="auto"/>
              <w:ind w:right="96"/>
              <w:rPr>
                <w:sz w:val="26"/>
                <w:szCs w:val="26"/>
                <w:lang w:val="vi-VN"/>
              </w:rPr>
            </w:pPr>
            <w:r w:rsidRPr="00377987">
              <w:rPr>
                <w:sz w:val="26"/>
                <w:szCs w:val="26"/>
                <w:lang w:val="vi-VN"/>
              </w:rPr>
              <w:t>Biện pháp phòng chống sinh vật gây hại trên dừa.</w:t>
            </w:r>
          </w:p>
        </w:tc>
      </w:tr>
      <w:tr w:rsidR="009D5DE7" w:rsidRPr="00377987" w:rsidTr="002D62B6">
        <w:trPr>
          <w:trHeight w:val="1393"/>
        </w:trPr>
        <w:tc>
          <w:tcPr>
            <w:tcW w:w="696" w:type="dxa"/>
          </w:tcPr>
          <w:p w:rsidR="009D5DE7" w:rsidRPr="00377987" w:rsidRDefault="009D5DE7" w:rsidP="002D62B6">
            <w:pPr>
              <w:pStyle w:val="TableParagraph"/>
              <w:spacing w:before="113"/>
              <w:ind w:left="10"/>
              <w:jc w:val="center"/>
              <w:rPr>
                <w:sz w:val="26"/>
                <w:szCs w:val="26"/>
                <w:lang w:val="vi-VN"/>
              </w:rPr>
            </w:pPr>
            <w:r w:rsidRPr="00377987">
              <w:rPr>
                <w:sz w:val="26"/>
                <w:szCs w:val="26"/>
                <w:lang w:val="vi-VN"/>
              </w:rPr>
              <w:t>3</w:t>
            </w:r>
          </w:p>
        </w:tc>
        <w:tc>
          <w:tcPr>
            <w:tcW w:w="8779" w:type="dxa"/>
          </w:tcPr>
          <w:p w:rsidR="009D5DE7" w:rsidRPr="00377987" w:rsidRDefault="009D5DE7" w:rsidP="002D62B6">
            <w:pPr>
              <w:pStyle w:val="TableParagraph"/>
              <w:spacing w:before="113" w:line="312" w:lineRule="auto"/>
              <w:ind w:right="95"/>
              <w:jc w:val="both"/>
              <w:rPr>
                <w:sz w:val="26"/>
                <w:szCs w:val="26"/>
              </w:rPr>
            </w:pPr>
            <w:r w:rsidRPr="00377987">
              <w:rPr>
                <w:sz w:val="26"/>
                <w:szCs w:val="26"/>
              </w:rPr>
              <w:t xml:space="preserve">Quy trình điều tra sinh vật gây hại trên trên sầu riêng và chanh leo (dựa theo TCVN 13268 – 4:2021 – </w:t>
            </w:r>
            <w:r w:rsidRPr="00377987">
              <w:rPr>
                <w:i/>
                <w:sz w:val="26"/>
                <w:szCs w:val="26"/>
              </w:rPr>
              <w:t>Phương pháp điều tra sinh vật gây hại – Phần 4: Nhóm cây ăn quả</w:t>
            </w:r>
            <w:r w:rsidRPr="00377987">
              <w:rPr>
                <w:sz w:val="26"/>
                <w:szCs w:val="26"/>
              </w:rPr>
              <w:t>) và các biện pháp phòng trừ, đặc biệt các loài sinh vật gây hại mà Trung Quốc quan tâm.</w:t>
            </w:r>
          </w:p>
        </w:tc>
      </w:tr>
      <w:tr w:rsidR="009D5DE7" w:rsidRPr="00377987" w:rsidTr="002D62B6">
        <w:trPr>
          <w:trHeight w:val="799"/>
        </w:trPr>
        <w:tc>
          <w:tcPr>
            <w:tcW w:w="696" w:type="dxa"/>
          </w:tcPr>
          <w:p w:rsidR="009D5DE7" w:rsidRPr="00377987" w:rsidRDefault="009D5DE7" w:rsidP="002D62B6">
            <w:pPr>
              <w:pStyle w:val="TableParagraph"/>
              <w:ind w:left="10"/>
              <w:jc w:val="center"/>
              <w:rPr>
                <w:sz w:val="26"/>
                <w:szCs w:val="26"/>
                <w:lang w:val="vi-VN"/>
              </w:rPr>
            </w:pPr>
            <w:r w:rsidRPr="00377987">
              <w:rPr>
                <w:sz w:val="26"/>
                <w:szCs w:val="26"/>
                <w:lang w:val="vi-VN"/>
              </w:rPr>
              <w:t>4</w:t>
            </w:r>
          </w:p>
        </w:tc>
        <w:tc>
          <w:tcPr>
            <w:tcW w:w="8779" w:type="dxa"/>
          </w:tcPr>
          <w:p w:rsidR="009D5DE7" w:rsidRPr="00377987" w:rsidRDefault="009D5DE7" w:rsidP="002D62B6">
            <w:pPr>
              <w:pStyle w:val="TableParagraph"/>
              <w:spacing w:line="312" w:lineRule="auto"/>
              <w:ind w:right="96"/>
              <w:rPr>
                <w:sz w:val="26"/>
                <w:szCs w:val="26"/>
              </w:rPr>
            </w:pPr>
            <w:r w:rsidRPr="00377987">
              <w:rPr>
                <w:sz w:val="26"/>
                <w:szCs w:val="26"/>
              </w:rPr>
              <w:t>Hồ sơ giám định và lưu mẫu sinh vật gây hại phát hiện thấy trong quá trình điều tra</w:t>
            </w:r>
            <w:r w:rsidRPr="00377987">
              <w:rPr>
                <w:sz w:val="26"/>
                <w:szCs w:val="26"/>
                <w:lang w:val="vi-VN"/>
              </w:rPr>
              <w:t xml:space="preserve"> dừa (nếu có)</w:t>
            </w:r>
            <w:r w:rsidRPr="00377987">
              <w:rPr>
                <w:sz w:val="26"/>
                <w:szCs w:val="26"/>
              </w:rPr>
              <w:t>.</w:t>
            </w:r>
          </w:p>
        </w:tc>
      </w:tr>
      <w:tr w:rsidR="009D5DE7" w:rsidRPr="00377987" w:rsidTr="002D62B6">
        <w:trPr>
          <w:trHeight w:val="799"/>
        </w:trPr>
        <w:tc>
          <w:tcPr>
            <w:tcW w:w="696" w:type="dxa"/>
          </w:tcPr>
          <w:p w:rsidR="009D5DE7" w:rsidRPr="008A61F7" w:rsidRDefault="009D5DE7" w:rsidP="002D62B6">
            <w:pPr>
              <w:pStyle w:val="TableParagraph"/>
              <w:ind w:left="10"/>
              <w:jc w:val="center"/>
              <w:rPr>
                <w:sz w:val="26"/>
                <w:szCs w:val="26"/>
                <w:lang w:val="en-US"/>
              </w:rPr>
            </w:pPr>
            <w:r>
              <w:rPr>
                <w:sz w:val="26"/>
                <w:szCs w:val="26"/>
                <w:lang w:val="en-US"/>
              </w:rPr>
              <w:t>5</w:t>
            </w:r>
          </w:p>
        </w:tc>
        <w:tc>
          <w:tcPr>
            <w:tcW w:w="8779" w:type="dxa"/>
          </w:tcPr>
          <w:p w:rsidR="009D5DE7" w:rsidRPr="008A61F7" w:rsidRDefault="009D5DE7" w:rsidP="002D62B6">
            <w:pPr>
              <w:pStyle w:val="TableParagraph"/>
              <w:spacing w:line="312" w:lineRule="auto"/>
              <w:ind w:right="96"/>
              <w:rPr>
                <w:sz w:val="26"/>
                <w:szCs w:val="26"/>
                <w:lang w:val="en-US"/>
              </w:rPr>
            </w:pPr>
            <w:r>
              <w:rPr>
                <w:sz w:val="26"/>
                <w:szCs w:val="26"/>
                <w:lang w:val="en-US"/>
              </w:rPr>
              <w:t>Cung cấp 1 video đại diện vùng trồng (giới thiệu vùng trồng, quy trình sản xuất, biện pháp quản lý SVGH và quá trình thu hoạch, tập kết và vận chuyển đến nhà đóng gói)</w:t>
            </w:r>
          </w:p>
        </w:tc>
      </w:tr>
      <w:tr w:rsidR="009D5DE7" w:rsidRPr="00377987" w:rsidTr="002D62B6">
        <w:trPr>
          <w:trHeight w:val="799"/>
        </w:trPr>
        <w:tc>
          <w:tcPr>
            <w:tcW w:w="696" w:type="dxa"/>
          </w:tcPr>
          <w:p w:rsidR="009D5DE7" w:rsidRDefault="009D5DE7" w:rsidP="002D62B6">
            <w:pPr>
              <w:pStyle w:val="TableParagraph"/>
              <w:ind w:left="10"/>
              <w:jc w:val="center"/>
              <w:rPr>
                <w:sz w:val="26"/>
                <w:szCs w:val="26"/>
                <w:lang w:val="en-US"/>
              </w:rPr>
            </w:pPr>
            <w:r>
              <w:rPr>
                <w:sz w:val="26"/>
                <w:szCs w:val="26"/>
                <w:lang w:val="en-US"/>
              </w:rPr>
              <w:t>6</w:t>
            </w:r>
          </w:p>
        </w:tc>
        <w:tc>
          <w:tcPr>
            <w:tcW w:w="8779" w:type="dxa"/>
          </w:tcPr>
          <w:p w:rsidR="009D5DE7" w:rsidRDefault="009D5DE7" w:rsidP="002D62B6">
            <w:pPr>
              <w:pStyle w:val="TableParagraph"/>
              <w:spacing w:line="312" w:lineRule="auto"/>
              <w:ind w:right="96"/>
              <w:rPr>
                <w:sz w:val="26"/>
                <w:szCs w:val="26"/>
                <w:lang w:val="en-US"/>
              </w:rPr>
            </w:pPr>
            <w:r>
              <w:rPr>
                <w:sz w:val="26"/>
                <w:szCs w:val="26"/>
                <w:lang w:val="en-US"/>
              </w:rPr>
              <w:t>Cung cấp 1 video về CSĐG (Quay video toàn bộ quy trình đóng gói; biện pháp kiểm soát SVGH, vệ sinh tại nhà đóng gói, và có phụ đề tiếng Anh hoặc tiếng Trung)</w:t>
            </w:r>
          </w:p>
        </w:tc>
      </w:tr>
      <w:tr w:rsidR="009D5DE7" w:rsidRPr="00377987" w:rsidTr="002D62B6">
        <w:trPr>
          <w:trHeight w:val="349"/>
        </w:trPr>
        <w:tc>
          <w:tcPr>
            <w:tcW w:w="9475" w:type="dxa"/>
            <w:gridSpan w:val="2"/>
          </w:tcPr>
          <w:p w:rsidR="009D5DE7" w:rsidRPr="00377987" w:rsidRDefault="009D5DE7" w:rsidP="002D62B6">
            <w:pPr>
              <w:pStyle w:val="TableParagraph"/>
              <w:spacing w:line="312" w:lineRule="auto"/>
              <w:ind w:right="96"/>
              <w:rPr>
                <w:sz w:val="26"/>
                <w:szCs w:val="26"/>
              </w:rPr>
            </w:pPr>
            <w:r w:rsidRPr="00377987">
              <w:rPr>
                <w:b/>
                <w:sz w:val="26"/>
                <w:szCs w:val="26"/>
              </w:rPr>
              <w:t>II. Đào tạo, tập huấn</w:t>
            </w:r>
          </w:p>
        </w:tc>
      </w:tr>
      <w:tr w:rsidR="009D5DE7" w:rsidRPr="00377987" w:rsidTr="002D62B6">
        <w:trPr>
          <w:trHeight w:val="736"/>
        </w:trPr>
        <w:tc>
          <w:tcPr>
            <w:tcW w:w="696" w:type="dxa"/>
          </w:tcPr>
          <w:p w:rsidR="009D5DE7" w:rsidRPr="00377987" w:rsidRDefault="009D5DE7" w:rsidP="002D62B6">
            <w:pPr>
              <w:pStyle w:val="TableParagraph"/>
              <w:ind w:left="10"/>
              <w:jc w:val="center"/>
              <w:rPr>
                <w:sz w:val="26"/>
                <w:szCs w:val="26"/>
                <w:lang w:val="vi-VN"/>
              </w:rPr>
            </w:pPr>
            <w:r w:rsidRPr="00377987">
              <w:rPr>
                <w:sz w:val="26"/>
                <w:szCs w:val="26"/>
                <w:lang w:val="vi-VN"/>
              </w:rPr>
              <w:t>5</w:t>
            </w:r>
          </w:p>
        </w:tc>
        <w:tc>
          <w:tcPr>
            <w:tcW w:w="8779" w:type="dxa"/>
          </w:tcPr>
          <w:p w:rsidR="009D5DE7" w:rsidRPr="00377987" w:rsidRDefault="009D5DE7" w:rsidP="002D62B6">
            <w:pPr>
              <w:pStyle w:val="TableParagraph"/>
              <w:spacing w:line="312" w:lineRule="auto"/>
              <w:ind w:right="96"/>
              <w:rPr>
                <w:sz w:val="26"/>
                <w:szCs w:val="26"/>
                <w:lang w:val="vi-VN"/>
              </w:rPr>
            </w:pPr>
            <w:r w:rsidRPr="00377987">
              <w:rPr>
                <w:sz w:val="26"/>
                <w:szCs w:val="26"/>
              </w:rPr>
              <w:t>Tài liệu và chương trình tập huấn cho đại diện vườn trồng và cơ sở đóng gói liên</w:t>
            </w:r>
            <w:r w:rsidRPr="00377987">
              <w:rPr>
                <w:spacing w:val="-9"/>
                <w:sz w:val="26"/>
                <w:szCs w:val="26"/>
              </w:rPr>
              <w:t xml:space="preserve"> </w:t>
            </w:r>
            <w:r w:rsidRPr="00377987">
              <w:rPr>
                <w:sz w:val="26"/>
                <w:szCs w:val="26"/>
              </w:rPr>
              <w:t>quan</w:t>
            </w:r>
            <w:r w:rsidRPr="00377987">
              <w:rPr>
                <w:spacing w:val="-9"/>
                <w:sz w:val="26"/>
                <w:szCs w:val="26"/>
              </w:rPr>
              <w:t xml:space="preserve"> </w:t>
            </w:r>
            <w:r w:rsidRPr="00377987">
              <w:rPr>
                <w:sz w:val="26"/>
                <w:szCs w:val="26"/>
              </w:rPr>
              <w:t>đến</w:t>
            </w:r>
            <w:r w:rsidRPr="00377987">
              <w:rPr>
                <w:spacing w:val="-8"/>
                <w:sz w:val="26"/>
                <w:szCs w:val="26"/>
              </w:rPr>
              <w:t xml:space="preserve"> </w:t>
            </w:r>
            <w:r w:rsidRPr="00377987">
              <w:rPr>
                <w:sz w:val="26"/>
                <w:szCs w:val="26"/>
              </w:rPr>
              <w:t>phòng</w:t>
            </w:r>
            <w:r w:rsidRPr="00377987">
              <w:rPr>
                <w:spacing w:val="-9"/>
                <w:sz w:val="26"/>
                <w:szCs w:val="26"/>
              </w:rPr>
              <w:t xml:space="preserve"> </w:t>
            </w:r>
            <w:r w:rsidRPr="00377987">
              <w:rPr>
                <w:sz w:val="26"/>
                <w:szCs w:val="26"/>
              </w:rPr>
              <w:t>chống</w:t>
            </w:r>
            <w:r w:rsidRPr="00377987">
              <w:rPr>
                <w:spacing w:val="-9"/>
                <w:sz w:val="26"/>
                <w:szCs w:val="26"/>
              </w:rPr>
              <w:t xml:space="preserve"> </w:t>
            </w:r>
            <w:r w:rsidRPr="00377987">
              <w:rPr>
                <w:sz w:val="26"/>
                <w:szCs w:val="26"/>
              </w:rPr>
              <w:t>sinh</w:t>
            </w:r>
            <w:r w:rsidRPr="00377987">
              <w:rPr>
                <w:spacing w:val="-8"/>
                <w:sz w:val="26"/>
                <w:szCs w:val="26"/>
              </w:rPr>
              <w:t xml:space="preserve"> </w:t>
            </w:r>
            <w:r w:rsidRPr="00377987">
              <w:rPr>
                <w:sz w:val="26"/>
                <w:szCs w:val="26"/>
              </w:rPr>
              <w:t>vật</w:t>
            </w:r>
            <w:r w:rsidRPr="00377987">
              <w:rPr>
                <w:spacing w:val="-9"/>
                <w:sz w:val="26"/>
                <w:szCs w:val="26"/>
              </w:rPr>
              <w:t xml:space="preserve"> </w:t>
            </w:r>
            <w:r w:rsidRPr="00377987">
              <w:rPr>
                <w:sz w:val="26"/>
                <w:szCs w:val="26"/>
              </w:rPr>
              <w:t>gây</w:t>
            </w:r>
            <w:r w:rsidRPr="00377987">
              <w:rPr>
                <w:spacing w:val="-12"/>
                <w:sz w:val="26"/>
                <w:szCs w:val="26"/>
              </w:rPr>
              <w:t xml:space="preserve"> </w:t>
            </w:r>
            <w:r w:rsidRPr="00377987">
              <w:rPr>
                <w:sz w:val="26"/>
                <w:szCs w:val="26"/>
              </w:rPr>
              <w:t>hại</w:t>
            </w:r>
            <w:r w:rsidRPr="00377987">
              <w:rPr>
                <w:spacing w:val="-3"/>
                <w:sz w:val="26"/>
                <w:szCs w:val="26"/>
              </w:rPr>
              <w:t xml:space="preserve"> </w:t>
            </w:r>
            <w:r w:rsidRPr="00377987">
              <w:rPr>
                <w:sz w:val="26"/>
                <w:szCs w:val="26"/>
              </w:rPr>
              <w:t>trên</w:t>
            </w:r>
            <w:r w:rsidRPr="00377987">
              <w:rPr>
                <w:spacing w:val="-9"/>
                <w:sz w:val="26"/>
                <w:szCs w:val="26"/>
              </w:rPr>
              <w:t xml:space="preserve"> </w:t>
            </w:r>
            <w:r w:rsidRPr="00377987">
              <w:rPr>
                <w:sz w:val="26"/>
                <w:szCs w:val="26"/>
                <w:lang w:val="vi-VN"/>
              </w:rPr>
              <w:t>dừa</w:t>
            </w:r>
            <w:r w:rsidRPr="00377987">
              <w:rPr>
                <w:spacing w:val="-13"/>
                <w:sz w:val="26"/>
                <w:szCs w:val="26"/>
              </w:rPr>
              <w:t xml:space="preserve"> </w:t>
            </w:r>
            <w:r w:rsidRPr="00377987">
              <w:rPr>
                <w:sz w:val="26"/>
                <w:szCs w:val="26"/>
              </w:rPr>
              <w:t>tươi</w:t>
            </w:r>
            <w:r w:rsidRPr="00377987">
              <w:rPr>
                <w:spacing w:val="-8"/>
                <w:sz w:val="26"/>
                <w:szCs w:val="26"/>
              </w:rPr>
              <w:t xml:space="preserve"> </w:t>
            </w:r>
          </w:p>
        </w:tc>
      </w:tr>
      <w:tr w:rsidR="009D5DE7" w:rsidRPr="00377987" w:rsidTr="002D62B6">
        <w:trPr>
          <w:trHeight w:val="529"/>
        </w:trPr>
        <w:tc>
          <w:tcPr>
            <w:tcW w:w="9475" w:type="dxa"/>
            <w:gridSpan w:val="2"/>
          </w:tcPr>
          <w:p w:rsidR="009D5DE7" w:rsidRPr="00377987" w:rsidRDefault="009D5DE7" w:rsidP="002D62B6">
            <w:pPr>
              <w:pStyle w:val="TableParagraph"/>
              <w:spacing w:line="312" w:lineRule="auto"/>
              <w:ind w:right="96"/>
              <w:rPr>
                <w:sz w:val="26"/>
                <w:szCs w:val="26"/>
              </w:rPr>
            </w:pPr>
            <w:r w:rsidRPr="00377987">
              <w:rPr>
                <w:b/>
                <w:sz w:val="26"/>
                <w:szCs w:val="26"/>
                <w:lang w:val="vi-VN"/>
              </w:rPr>
              <w:t>III</w:t>
            </w:r>
            <w:r w:rsidRPr="00377987">
              <w:rPr>
                <w:b/>
                <w:sz w:val="26"/>
                <w:szCs w:val="26"/>
              </w:rPr>
              <w:t>. Các tài liệu khác</w:t>
            </w:r>
            <w:r w:rsidRPr="00377987">
              <w:rPr>
                <w:b/>
                <w:sz w:val="26"/>
                <w:szCs w:val="26"/>
                <w:lang w:val="vi-VN"/>
              </w:rPr>
              <w:t xml:space="preserve"> </w:t>
            </w:r>
            <w:r w:rsidRPr="00377987">
              <w:rPr>
                <w:bCs/>
                <w:i/>
                <w:iCs/>
                <w:sz w:val="26"/>
                <w:szCs w:val="26"/>
                <w:lang w:val="vi-VN"/>
              </w:rPr>
              <w:t>(nếu có)</w:t>
            </w:r>
          </w:p>
        </w:tc>
      </w:tr>
    </w:tbl>
    <w:p w:rsidR="00E56D7E" w:rsidRDefault="00E56D7E"/>
    <w:sectPr w:rsidR="00E56D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DE7"/>
    <w:rsid w:val="00070837"/>
    <w:rsid w:val="009D5DE7"/>
    <w:rsid w:val="00E56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DE7"/>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9"/>
    <w:qFormat/>
    <w:rsid w:val="009D5DE7"/>
    <w:pPr>
      <w:spacing w:before="59"/>
      <w:ind w:left="1394" w:right="1371"/>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DE7"/>
    <w:rPr>
      <w:rFonts w:ascii="Times New Roman" w:eastAsia="Times New Roman" w:hAnsi="Times New Roman" w:cs="Times New Roman"/>
      <w:b/>
      <w:bCs/>
      <w:sz w:val="28"/>
      <w:szCs w:val="28"/>
      <w:lang w:val="vi"/>
    </w:rPr>
  </w:style>
  <w:style w:type="paragraph" w:styleId="ListParagraph">
    <w:name w:val="List Paragraph"/>
    <w:basedOn w:val="Normal"/>
    <w:uiPriority w:val="1"/>
    <w:qFormat/>
    <w:rsid w:val="009D5DE7"/>
    <w:pPr>
      <w:spacing w:before="121"/>
      <w:ind w:left="262" w:right="948" w:firstLine="719"/>
      <w:jc w:val="both"/>
    </w:pPr>
  </w:style>
  <w:style w:type="paragraph" w:customStyle="1" w:styleId="TableParagraph">
    <w:name w:val="Table Paragraph"/>
    <w:basedOn w:val="Normal"/>
    <w:uiPriority w:val="1"/>
    <w:qFormat/>
    <w:rsid w:val="009D5DE7"/>
    <w:pPr>
      <w:spacing w:before="112"/>
      <w:ind w:left="10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DE7"/>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9"/>
    <w:qFormat/>
    <w:rsid w:val="009D5DE7"/>
    <w:pPr>
      <w:spacing w:before="59"/>
      <w:ind w:left="1394" w:right="1371"/>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DE7"/>
    <w:rPr>
      <w:rFonts w:ascii="Times New Roman" w:eastAsia="Times New Roman" w:hAnsi="Times New Roman" w:cs="Times New Roman"/>
      <w:b/>
      <w:bCs/>
      <w:sz w:val="28"/>
      <w:szCs w:val="28"/>
      <w:lang w:val="vi"/>
    </w:rPr>
  </w:style>
  <w:style w:type="paragraph" w:styleId="ListParagraph">
    <w:name w:val="List Paragraph"/>
    <w:basedOn w:val="Normal"/>
    <w:uiPriority w:val="1"/>
    <w:qFormat/>
    <w:rsid w:val="009D5DE7"/>
    <w:pPr>
      <w:spacing w:before="121"/>
      <w:ind w:left="262" w:right="948" w:firstLine="719"/>
      <w:jc w:val="both"/>
    </w:pPr>
  </w:style>
  <w:style w:type="paragraph" w:customStyle="1" w:styleId="TableParagraph">
    <w:name w:val="Table Paragraph"/>
    <w:basedOn w:val="Normal"/>
    <w:uiPriority w:val="1"/>
    <w:qFormat/>
    <w:rsid w:val="009D5DE7"/>
    <w:pPr>
      <w:spacing w:before="112"/>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2023-07-21T10:03:00Z</dcterms:created>
  <dcterms:modified xsi:type="dcterms:W3CDTF">2023-07-21T10:09:00Z</dcterms:modified>
</cp:coreProperties>
</file>