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9" w:type="dxa"/>
        <w:tblInd w:w="-72" w:type="dxa"/>
        <w:tblLayout w:type="fixed"/>
        <w:tblLook w:val="0000"/>
      </w:tblPr>
      <w:tblGrid>
        <w:gridCol w:w="3060"/>
        <w:gridCol w:w="282"/>
        <w:gridCol w:w="6336"/>
        <w:gridCol w:w="991"/>
      </w:tblGrid>
      <w:tr w:rsidR="003B7DDA" w:rsidRPr="00E9299D" w:rsidTr="00F964C8">
        <w:trPr>
          <w:gridAfter w:val="1"/>
          <w:wAfter w:w="991" w:type="dxa"/>
        </w:trPr>
        <w:tc>
          <w:tcPr>
            <w:tcW w:w="3060" w:type="dxa"/>
          </w:tcPr>
          <w:p w:rsidR="003B7DDA" w:rsidRPr="00E9299D" w:rsidRDefault="00162C9B" w:rsidP="00A47687">
            <w:pPr>
              <w:widowControl w:val="0"/>
              <w:jc w:val="center"/>
              <w:rPr>
                <w:b/>
                <w:sz w:val="26"/>
                <w:szCs w:val="24"/>
                <w:lang w:val="nl-NL"/>
              </w:rPr>
            </w:pPr>
            <w:r w:rsidRPr="00E9299D">
              <w:rPr>
                <w:b/>
                <w:sz w:val="26"/>
                <w:szCs w:val="24"/>
                <w:lang w:val="nl-NL"/>
              </w:rPr>
              <w:t xml:space="preserve"> </w:t>
            </w:r>
            <w:r w:rsidR="007973EF" w:rsidRPr="00E9299D">
              <w:rPr>
                <w:b/>
                <w:sz w:val="26"/>
                <w:szCs w:val="24"/>
                <w:lang w:val="nl-NL"/>
              </w:rPr>
              <w:t xml:space="preserve">   </w:t>
            </w:r>
            <w:r w:rsidR="00EA59DF" w:rsidRPr="00E9299D">
              <w:rPr>
                <w:b/>
                <w:sz w:val="26"/>
                <w:szCs w:val="24"/>
                <w:lang w:val="nl-NL"/>
              </w:rPr>
              <w:t xml:space="preserve"> </w:t>
            </w:r>
            <w:r w:rsidR="003B7DDA" w:rsidRPr="00E9299D">
              <w:rPr>
                <w:b/>
                <w:sz w:val="26"/>
                <w:szCs w:val="24"/>
                <w:lang w:val="nl-NL"/>
              </w:rPr>
              <w:t>BỘ TÀI CHÍNH</w:t>
            </w:r>
          </w:p>
          <w:p w:rsidR="003B7DDA" w:rsidRPr="00E9299D" w:rsidRDefault="003B7DDA" w:rsidP="00A47687">
            <w:pPr>
              <w:widowControl w:val="0"/>
              <w:jc w:val="center"/>
              <w:rPr>
                <w:lang w:val="nl-NL"/>
              </w:rPr>
            </w:pPr>
            <w:r w:rsidRPr="00E9299D">
              <w:rPr>
                <w:vertAlign w:val="superscript"/>
                <w:lang w:val="nl-NL"/>
              </w:rPr>
              <w:t>_____</w:t>
            </w:r>
          </w:p>
        </w:tc>
        <w:tc>
          <w:tcPr>
            <w:tcW w:w="282" w:type="dxa"/>
          </w:tcPr>
          <w:p w:rsidR="003B7DDA" w:rsidRPr="00E9299D" w:rsidRDefault="003B7DDA" w:rsidP="00A47687">
            <w:pPr>
              <w:widowControl w:val="0"/>
              <w:jc w:val="center"/>
              <w:rPr>
                <w:sz w:val="26"/>
                <w:lang w:val="nl-NL"/>
              </w:rPr>
            </w:pPr>
          </w:p>
        </w:tc>
        <w:tc>
          <w:tcPr>
            <w:tcW w:w="6336" w:type="dxa"/>
          </w:tcPr>
          <w:p w:rsidR="003B7DDA" w:rsidRPr="00E9299D" w:rsidRDefault="003B7DDA" w:rsidP="00A47687">
            <w:pPr>
              <w:widowControl w:val="0"/>
              <w:ind w:left="-9" w:right="-786"/>
              <w:rPr>
                <w:b/>
                <w:sz w:val="26"/>
                <w:szCs w:val="24"/>
                <w:lang w:val="nl-NL"/>
              </w:rPr>
            </w:pPr>
            <w:r w:rsidRPr="00E9299D">
              <w:rPr>
                <w:b/>
                <w:sz w:val="26"/>
                <w:szCs w:val="24"/>
                <w:lang w:val="nl-NL"/>
              </w:rPr>
              <w:t xml:space="preserve">     CỘNG HOÀ XÃ HỘI CHỦ NGHĨA VIỆT NAM</w:t>
            </w:r>
          </w:p>
          <w:p w:rsidR="003B7DDA" w:rsidRPr="00E9299D" w:rsidRDefault="003B7DDA" w:rsidP="00A47687">
            <w:pPr>
              <w:widowControl w:val="0"/>
              <w:jc w:val="center"/>
              <w:rPr>
                <w:lang w:val="nl-NL"/>
              </w:rPr>
            </w:pPr>
            <w:r w:rsidRPr="00E9299D">
              <w:rPr>
                <w:b/>
                <w:lang w:val="nl-NL"/>
              </w:rPr>
              <w:t>Độc lập - Tự do - Hạnh phúc</w:t>
            </w:r>
          </w:p>
        </w:tc>
      </w:tr>
      <w:tr w:rsidR="003B7DDA" w:rsidRPr="00E9299D" w:rsidTr="00F964C8">
        <w:tc>
          <w:tcPr>
            <w:tcW w:w="3060" w:type="dxa"/>
          </w:tcPr>
          <w:p w:rsidR="003B7DDA" w:rsidRPr="00E9299D" w:rsidRDefault="003B7DDA" w:rsidP="00A47687">
            <w:pPr>
              <w:widowControl w:val="0"/>
              <w:jc w:val="center"/>
              <w:rPr>
                <w:b/>
                <w:sz w:val="26"/>
                <w:szCs w:val="26"/>
                <w:lang w:val="nl-NL"/>
              </w:rPr>
            </w:pPr>
          </w:p>
        </w:tc>
        <w:tc>
          <w:tcPr>
            <w:tcW w:w="282" w:type="dxa"/>
          </w:tcPr>
          <w:p w:rsidR="003B7DDA" w:rsidRPr="00E9299D" w:rsidRDefault="003B7DDA" w:rsidP="00A47687">
            <w:pPr>
              <w:widowControl w:val="0"/>
              <w:jc w:val="center"/>
              <w:rPr>
                <w:sz w:val="26"/>
                <w:lang w:val="nl-NL"/>
              </w:rPr>
            </w:pPr>
          </w:p>
        </w:tc>
        <w:tc>
          <w:tcPr>
            <w:tcW w:w="6336" w:type="dxa"/>
          </w:tcPr>
          <w:p w:rsidR="003B7DDA" w:rsidRPr="00E9299D" w:rsidRDefault="003B7DDA" w:rsidP="00A47687">
            <w:pPr>
              <w:widowControl w:val="0"/>
              <w:jc w:val="center"/>
              <w:rPr>
                <w:b/>
                <w:sz w:val="22"/>
                <w:lang w:val="nl-NL"/>
              </w:rPr>
            </w:pPr>
            <w:r w:rsidRPr="00E9299D">
              <w:rPr>
                <w:b/>
                <w:sz w:val="22"/>
                <w:vertAlign w:val="superscript"/>
                <w:lang w:val="nl-NL"/>
              </w:rPr>
              <w:t>________________________________________________</w:t>
            </w:r>
          </w:p>
        </w:tc>
        <w:tc>
          <w:tcPr>
            <w:tcW w:w="991" w:type="dxa"/>
          </w:tcPr>
          <w:p w:rsidR="003B7DDA" w:rsidRPr="00E9299D" w:rsidRDefault="003B7DDA" w:rsidP="00A47687">
            <w:pPr>
              <w:widowControl w:val="0"/>
              <w:rPr>
                <w:b/>
                <w:sz w:val="16"/>
                <w:lang w:val="nl-NL"/>
              </w:rPr>
            </w:pPr>
          </w:p>
        </w:tc>
      </w:tr>
      <w:tr w:rsidR="003B7DDA" w:rsidRPr="00DD7403" w:rsidTr="00F964C8">
        <w:trPr>
          <w:gridAfter w:val="1"/>
          <w:wAfter w:w="991" w:type="dxa"/>
        </w:trPr>
        <w:tc>
          <w:tcPr>
            <w:tcW w:w="3060" w:type="dxa"/>
          </w:tcPr>
          <w:p w:rsidR="003B7DDA" w:rsidRPr="00E9299D" w:rsidRDefault="003B7DDA" w:rsidP="00B8392F">
            <w:pPr>
              <w:widowControl w:val="0"/>
              <w:jc w:val="center"/>
              <w:rPr>
                <w:sz w:val="24"/>
                <w:lang w:val="nl-NL"/>
              </w:rPr>
            </w:pPr>
            <w:r w:rsidRPr="00E9299D">
              <w:rPr>
                <w:sz w:val="26"/>
                <w:szCs w:val="26"/>
                <w:lang w:val="nl-NL"/>
              </w:rPr>
              <w:t>Số</w:t>
            </w:r>
            <w:r w:rsidR="00497810" w:rsidRPr="00E9299D">
              <w:rPr>
                <w:sz w:val="26"/>
                <w:szCs w:val="26"/>
                <w:lang w:val="nl-NL"/>
              </w:rPr>
              <w:t xml:space="preserve">:  </w:t>
            </w:r>
            <w:r w:rsidR="00B8392F" w:rsidRPr="00E9299D">
              <w:rPr>
                <w:sz w:val="26"/>
                <w:szCs w:val="26"/>
                <w:lang w:val="nl-NL"/>
              </w:rPr>
              <w:t xml:space="preserve">       </w:t>
            </w:r>
            <w:r w:rsidRPr="00E9299D">
              <w:rPr>
                <w:sz w:val="26"/>
                <w:szCs w:val="26"/>
                <w:lang w:val="nl-NL"/>
              </w:rPr>
              <w:t>/TTr-BTC</w:t>
            </w:r>
          </w:p>
        </w:tc>
        <w:tc>
          <w:tcPr>
            <w:tcW w:w="282" w:type="dxa"/>
          </w:tcPr>
          <w:p w:rsidR="003B7DDA" w:rsidRPr="00E9299D" w:rsidRDefault="003B7DDA" w:rsidP="00A47687">
            <w:pPr>
              <w:widowControl w:val="0"/>
              <w:jc w:val="center"/>
              <w:rPr>
                <w:sz w:val="26"/>
                <w:lang w:val="nl-NL"/>
              </w:rPr>
            </w:pPr>
          </w:p>
        </w:tc>
        <w:tc>
          <w:tcPr>
            <w:tcW w:w="6336" w:type="dxa"/>
          </w:tcPr>
          <w:p w:rsidR="003337AC" w:rsidRPr="00E9299D" w:rsidRDefault="003B7DDA" w:rsidP="00B8392F">
            <w:pPr>
              <w:widowControl w:val="0"/>
              <w:jc w:val="center"/>
              <w:rPr>
                <w:b/>
                <w:lang w:val="nl-NL"/>
              </w:rPr>
            </w:pPr>
            <w:r w:rsidRPr="00E9299D">
              <w:rPr>
                <w:i/>
                <w:lang w:val="nl-NL"/>
              </w:rPr>
              <w:t xml:space="preserve">Hà Nội, </w:t>
            </w:r>
            <w:r w:rsidR="00497810" w:rsidRPr="00E9299D">
              <w:rPr>
                <w:i/>
                <w:lang w:val="nl-NL"/>
              </w:rPr>
              <w:t xml:space="preserve">ngày  </w:t>
            </w:r>
            <w:r w:rsidR="00B8392F" w:rsidRPr="00E9299D">
              <w:rPr>
                <w:i/>
                <w:lang w:val="nl-NL"/>
              </w:rPr>
              <w:t xml:space="preserve">     </w:t>
            </w:r>
            <w:r w:rsidR="00497810" w:rsidRPr="00E9299D">
              <w:rPr>
                <w:i/>
                <w:lang w:val="nl-NL"/>
              </w:rPr>
              <w:t xml:space="preserve">  tháng </w:t>
            </w:r>
            <w:r w:rsidR="00B8392F" w:rsidRPr="00E9299D">
              <w:rPr>
                <w:i/>
                <w:lang w:val="nl-NL"/>
              </w:rPr>
              <w:t xml:space="preserve">      </w:t>
            </w:r>
            <w:r w:rsidR="00497810" w:rsidRPr="00E9299D">
              <w:rPr>
                <w:i/>
                <w:lang w:val="nl-NL"/>
              </w:rPr>
              <w:t xml:space="preserve"> </w:t>
            </w:r>
            <w:r w:rsidRPr="00E9299D">
              <w:rPr>
                <w:i/>
                <w:lang w:val="nl-NL"/>
              </w:rPr>
              <w:t>năm 201</w:t>
            </w:r>
            <w:r w:rsidR="00B8392F" w:rsidRPr="00E9299D">
              <w:rPr>
                <w:i/>
                <w:lang w:val="nl-NL"/>
              </w:rPr>
              <w:t>9</w:t>
            </w:r>
          </w:p>
        </w:tc>
      </w:tr>
    </w:tbl>
    <w:p w:rsidR="003B7DDA" w:rsidRPr="00E9299D" w:rsidRDefault="003B7DDA" w:rsidP="00A47687">
      <w:pPr>
        <w:widowControl w:val="0"/>
        <w:jc w:val="both"/>
        <w:rPr>
          <w:lang w:val="nl-NL"/>
        </w:rPr>
      </w:pPr>
    </w:p>
    <w:p w:rsidR="003B7DDA" w:rsidRPr="00E9299D" w:rsidRDefault="003B7DDA" w:rsidP="00B8392F">
      <w:pPr>
        <w:widowControl w:val="0"/>
        <w:spacing w:before="120" w:after="120" w:line="360" w:lineRule="exact"/>
        <w:jc w:val="center"/>
        <w:outlineLvl w:val="0"/>
        <w:rPr>
          <w:b/>
          <w:sz w:val="26"/>
          <w:lang w:val="nl-NL"/>
        </w:rPr>
      </w:pPr>
      <w:r w:rsidRPr="00E9299D">
        <w:rPr>
          <w:b/>
          <w:sz w:val="26"/>
          <w:lang w:val="nl-NL"/>
        </w:rPr>
        <w:t xml:space="preserve">TỜ TRÌNH </w:t>
      </w:r>
    </w:p>
    <w:p w:rsidR="00EE5CCE" w:rsidRPr="00E9299D" w:rsidRDefault="00B8392F">
      <w:pPr>
        <w:widowControl w:val="0"/>
        <w:ind w:firstLine="567"/>
        <w:jc w:val="center"/>
        <w:rPr>
          <w:b/>
          <w:lang w:val="nl-NL"/>
        </w:rPr>
      </w:pPr>
      <w:r w:rsidRPr="00E9299D">
        <w:rPr>
          <w:b/>
          <w:lang w:val="nl-NL"/>
        </w:rPr>
        <w:t>Về việc ban hành</w:t>
      </w:r>
      <w:r w:rsidR="00130B5A" w:rsidRPr="00E9299D">
        <w:rPr>
          <w:b/>
          <w:lang w:val="nl-NL"/>
        </w:rPr>
        <w:t xml:space="preserve"> </w:t>
      </w:r>
      <w:r w:rsidR="003B7DDA" w:rsidRPr="00E9299D">
        <w:rPr>
          <w:b/>
          <w:lang w:val="nl-NL"/>
        </w:rPr>
        <w:t xml:space="preserve">Nghị định của Chính phủ quy định </w:t>
      </w:r>
      <w:r w:rsidR="002562A0" w:rsidRPr="00E9299D">
        <w:rPr>
          <w:b/>
          <w:lang w:val="nl-NL"/>
        </w:rPr>
        <w:t>về tổ chức và</w:t>
      </w:r>
    </w:p>
    <w:p w:rsidR="00EE5CCE" w:rsidRPr="00E9299D" w:rsidRDefault="002562A0">
      <w:pPr>
        <w:widowControl w:val="0"/>
        <w:ind w:firstLine="567"/>
        <w:jc w:val="center"/>
        <w:rPr>
          <w:b/>
          <w:lang w:val="nl-NL"/>
        </w:rPr>
      </w:pPr>
      <w:r w:rsidRPr="00E9299D">
        <w:rPr>
          <w:b/>
          <w:lang w:val="nl-NL"/>
        </w:rPr>
        <w:t>hoạt động của Quỹ đầu tư phát triển địa phươn</w:t>
      </w:r>
      <w:r w:rsidR="00EA49AE" w:rsidRPr="00E9299D">
        <w:rPr>
          <w:b/>
          <w:lang w:val="nl-NL"/>
        </w:rPr>
        <w:t>g</w:t>
      </w:r>
    </w:p>
    <w:p w:rsidR="00EE5CCE" w:rsidRPr="00E9299D" w:rsidRDefault="00E0598E">
      <w:pPr>
        <w:widowControl w:val="0"/>
        <w:ind w:firstLine="567"/>
        <w:jc w:val="center"/>
        <w:rPr>
          <w:b/>
          <w:lang w:val="nl-NL"/>
        </w:rPr>
      </w:pPr>
      <w:r w:rsidRPr="00E9299D">
        <w:rPr>
          <w:b/>
          <w:lang w:val="nl-NL"/>
        </w:rPr>
        <w:t xml:space="preserve">(thay thế </w:t>
      </w:r>
      <w:r w:rsidR="00332339" w:rsidRPr="00E9299D">
        <w:rPr>
          <w:b/>
          <w:lang w:val="nl-NL"/>
        </w:rPr>
        <w:t>Nghị định số 138</w:t>
      </w:r>
      <w:r w:rsidR="002562A0" w:rsidRPr="00E9299D">
        <w:rPr>
          <w:b/>
          <w:lang w:val="nl-NL"/>
        </w:rPr>
        <w:t xml:space="preserve"> và </w:t>
      </w:r>
      <w:r w:rsidR="00332339" w:rsidRPr="00E9299D">
        <w:rPr>
          <w:b/>
          <w:lang w:val="nl-NL"/>
        </w:rPr>
        <w:t>Nghị định số 37</w:t>
      </w:r>
      <w:r w:rsidRPr="00E9299D">
        <w:rPr>
          <w:b/>
          <w:lang w:val="nl-NL"/>
        </w:rPr>
        <w:t>)</w:t>
      </w:r>
    </w:p>
    <w:p w:rsidR="00B3691E" w:rsidRPr="00E9299D" w:rsidRDefault="003B7DDA">
      <w:pPr>
        <w:widowControl w:val="0"/>
        <w:ind w:firstLine="567"/>
        <w:jc w:val="center"/>
        <w:rPr>
          <w:b/>
          <w:sz w:val="22"/>
          <w:vertAlign w:val="superscript"/>
          <w:lang w:val="nl-NL"/>
        </w:rPr>
      </w:pPr>
      <w:r w:rsidRPr="00E9299D">
        <w:rPr>
          <w:b/>
          <w:sz w:val="22"/>
          <w:vertAlign w:val="superscript"/>
          <w:lang w:val="nl-NL"/>
        </w:rPr>
        <w:t>_____________________________________</w:t>
      </w:r>
    </w:p>
    <w:p w:rsidR="00C87798" w:rsidRPr="00E9299D" w:rsidRDefault="00C87798">
      <w:pPr>
        <w:widowControl w:val="0"/>
        <w:jc w:val="center"/>
        <w:outlineLvl w:val="0"/>
        <w:rPr>
          <w:lang w:val="nl-NL"/>
        </w:rPr>
      </w:pPr>
    </w:p>
    <w:p w:rsidR="00A15A4B" w:rsidRPr="00E9299D" w:rsidRDefault="00A30788" w:rsidP="00A15A4B">
      <w:pPr>
        <w:widowControl w:val="0"/>
        <w:jc w:val="center"/>
        <w:outlineLvl w:val="0"/>
        <w:rPr>
          <w:lang w:val="nl-NL"/>
        </w:rPr>
      </w:pPr>
      <w:r w:rsidRPr="00E9299D">
        <w:rPr>
          <w:lang w:val="nl-NL"/>
        </w:rPr>
        <w:t>Kính gửi: Chính phủ</w:t>
      </w:r>
    </w:p>
    <w:p w:rsidR="00A15A4B" w:rsidRPr="00E9299D" w:rsidRDefault="00A15A4B" w:rsidP="00A15A4B">
      <w:pPr>
        <w:widowControl w:val="0"/>
        <w:jc w:val="center"/>
        <w:outlineLvl w:val="0"/>
        <w:rPr>
          <w:lang w:val="nl-NL"/>
        </w:rPr>
      </w:pPr>
    </w:p>
    <w:p w:rsidR="009C50CF" w:rsidRPr="00E9299D" w:rsidRDefault="009C50CF" w:rsidP="008917E5">
      <w:pPr>
        <w:widowControl w:val="0"/>
        <w:spacing w:before="120" w:after="120" w:line="360" w:lineRule="exact"/>
        <w:ind w:firstLine="709"/>
        <w:jc w:val="both"/>
        <w:outlineLvl w:val="0"/>
        <w:rPr>
          <w:lang w:val="nl-NL"/>
        </w:rPr>
      </w:pPr>
      <w:r w:rsidRPr="00E9299D">
        <w:rPr>
          <w:lang w:val="nl-NL"/>
        </w:rPr>
        <w:t xml:space="preserve">Chính phủ </w:t>
      </w:r>
      <w:r w:rsidR="00D869D7" w:rsidRPr="00E9299D">
        <w:rPr>
          <w:lang w:val="nl-NL"/>
        </w:rPr>
        <w:t xml:space="preserve">đã </w:t>
      </w:r>
      <w:r w:rsidRPr="00E9299D">
        <w:rPr>
          <w:lang w:val="nl-NL"/>
        </w:rPr>
        <w:t xml:space="preserve">ban hành Nghị định số 138/2007/NĐ-CP </w:t>
      </w:r>
      <w:r w:rsidR="00D869D7" w:rsidRPr="00E9299D">
        <w:rPr>
          <w:lang w:val="nl-NL"/>
        </w:rPr>
        <w:t xml:space="preserve">ngày 28/8/2007 </w:t>
      </w:r>
      <w:r w:rsidRPr="00E9299D">
        <w:rPr>
          <w:lang w:val="nl-NL"/>
        </w:rPr>
        <w:t>về tổ chức và hoạt động của Quỹ Đầu tư phát tri</w:t>
      </w:r>
      <w:r w:rsidR="00D869D7" w:rsidRPr="00E9299D">
        <w:rPr>
          <w:lang w:val="nl-NL"/>
        </w:rPr>
        <w:t>ển địa phương (Nghị định số 138</w:t>
      </w:r>
      <w:r w:rsidRPr="00E9299D">
        <w:rPr>
          <w:lang w:val="nl-NL"/>
        </w:rPr>
        <w:t xml:space="preserve">) </w:t>
      </w:r>
      <w:r w:rsidR="00D869D7" w:rsidRPr="00E9299D">
        <w:rPr>
          <w:lang w:val="nl-NL"/>
        </w:rPr>
        <w:t>và</w:t>
      </w:r>
      <w:r w:rsidRPr="00E9299D">
        <w:rPr>
          <w:lang w:val="nl-NL"/>
        </w:rPr>
        <w:t xml:space="preserve"> Nghị định số 37/2013/NĐ-CP</w:t>
      </w:r>
      <w:r w:rsidR="00D869D7" w:rsidRPr="00E9299D">
        <w:rPr>
          <w:lang w:val="nl-NL"/>
        </w:rPr>
        <w:t xml:space="preserve"> ngày 22/4/2013</w:t>
      </w:r>
      <w:r w:rsidRPr="00E9299D">
        <w:rPr>
          <w:lang w:val="nl-NL"/>
        </w:rPr>
        <w:t xml:space="preserve"> sửa đổi, bổ sung một số điều của Nghị định số 138 (Nghị định số 37). Đánh giá quá trình triển khai thực hiện các Nghị định nêu trên từ năm 2007 đến nay, có thể thấy bên cạnh những kết quả đã đạt được, đã bộc lộ một số tồn tại, hạn chế cần sửa đổi để phù hợp với sự phát triển của hệ thống Quỹ Đầu tư phát triển địa phương (Quỹ ĐTPTĐP). Trên cơ sở đánh giá, tổng kết việc thi hành Nghị định số 138/2007/NĐ-CP và Nghị định số 37/2013/NĐ-CP, Bộ Tài chính đã </w:t>
      </w:r>
      <w:r w:rsidR="00200427">
        <w:rPr>
          <w:lang w:val="nl-NL"/>
        </w:rPr>
        <w:t xml:space="preserve">có </w:t>
      </w:r>
      <w:r w:rsidRPr="00E9299D">
        <w:rPr>
          <w:lang w:val="nl-NL"/>
        </w:rPr>
        <w:t>Tờ trình</w:t>
      </w:r>
      <w:r w:rsidR="00200427">
        <w:rPr>
          <w:lang w:val="nl-NL"/>
        </w:rPr>
        <w:t xml:space="preserve"> Chính phủ</w:t>
      </w:r>
      <w:r w:rsidRPr="00E9299D">
        <w:rPr>
          <w:lang w:val="nl-NL"/>
        </w:rPr>
        <w:t xml:space="preserve"> số 178/TTr-BTC ngày 21/12/2018 đề nghị xây dựng Nghị định quy định về tổ chức và hoạt động của Quỹ ĐTPTĐP.</w:t>
      </w:r>
    </w:p>
    <w:p w:rsidR="00B8392F" w:rsidRPr="00E9299D" w:rsidRDefault="00A15A4B" w:rsidP="008917E5">
      <w:pPr>
        <w:widowControl w:val="0"/>
        <w:spacing w:before="120" w:after="120" w:line="360" w:lineRule="exact"/>
        <w:ind w:firstLine="709"/>
        <w:jc w:val="both"/>
        <w:outlineLvl w:val="0"/>
        <w:rPr>
          <w:lang w:val="nl-NL"/>
        </w:rPr>
      </w:pPr>
      <w:r w:rsidRPr="00E9299D">
        <w:rPr>
          <w:lang w:val="nl-NL"/>
        </w:rPr>
        <w:tab/>
      </w:r>
      <w:r w:rsidR="00B8392F" w:rsidRPr="00E9299D">
        <w:rPr>
          <w:lang w:val="nl-NL"/>
        </w:rPr>
        <w:t>Ngày 14/6/2019, Chính phủ có Nghị quyết số 41/NQ-CP về việc thông qua đề nghị xây dựng Nghị định về tổ chức, hoạt động của Quỹ Đầu tư phát triển địa phương</w:t>
      </w:r>
      <w:r w:rsidR="008C0CA6" w:rsidRPr="00E9299D">
        <w:rPr>
          <w:lang w:val="nl-NL"/>
        </w:rPr>
        <w:t xml:space="preserve"> (</w:t>
      </w:r>
      <w:r w:rsidR="008C0CA6" w:rsidRPr="00E9299D">
        <w:rPr>
          <w:i/>
          <w:lang w:val="nl-NL"/>
        </w:rPr>
        <w:t>kèm theo</w:t>
      </w:r>
      <w:r w:rsidR="008C0CA6" w:rsidRPr="00E9299D">
        <w:rPr>
          <w:lang w:val="nl-NL"/>
        </w:rPr>
        <w:t>)</w:t>
      </w:r>
      <w:r w:rsidR="00B8392F" w:rsidRPr="00E9299D">
        <w:rPr>
          <w:lang w:val="nl-NL"/>
        </w:rPr>
        <w:t xml:space="preserve">. </w:t>
      </w:r>
    </w:p>
    <w:p w:rsidR="00A15A4B" w:rsidRPr="00E9299D" w:rsidRDefault="009C50CF" w:rsidP="008917E5">
      <w:pPr>
        <w:widowControl w:val="0"/>
        <w:spacing w:before="120" w:after="120" w:line="360" w:lineRule="exact"/>
        <w:ind w:firstLine="709"/>
        <w:jc w:val="both"/>
        <w:outlineLvl w:val="0"/>
        <w:rPr>
          <w:lang w:val="nl-NL"/>
        </w:rPr>
      </w:pPr>
      <w:r w:rsidRPr="00E9299D">
        <w:rPr>
          <w:lang w:val="nl-NL"/>
        </w:rPr>
        <w:t xml:space="preserve">Thực hiện chỉ đạo của Chính phủ, </w:t>
      </w:r>
      <w:r w:rsidR="00C069DC" w:rsidRPr="00E9299D">
        <w:rPr>
          <w:lang w:val="nl-NL"/>
        </w:rPr>
        <w:t>theo quy trình của Luật Ban hành văn bản quy phạm pháp luật, Bộ Tài chính đã xây dựng</w:t>
      </w:r>
      <w:r w:rsidR="00A743C9" w:rsidRPr="00E9299D">
        <w:rPr>
          <w:lang w:val="nl-NL"/>
        </w:rPr>
        <w:t xml:space="preserve"> dự thảo </w:t>
      </w:r>
      <w:r w:rsidR="00C069DC" w:rsidRPr="00E9299D">
        <w:rPr>
          <w:lang w:val="nl-NL"/>
        </w:rPr>
        <w:t xml:space="preserve">Nghị định quy định về tổ chức và hoạt động của Quỹ Đầu tư phát triển địa phương thay thế Nghị định số 138 và Nghị định số 37 (sau đây gọi tắt là dự thảo Nghị định). Sau khi lấy ý kiến các Bộ, ngành liên quan (Bộ Tư pháp, Bộ Kế hoạch và Đầu tư, Ngân hàng Nhà nước Việt Nam), </w:t>
      </w:r>
      <w:r w:rsidR="00EC1DD6" w:rsidRPr="00E9299D">
        <w:rPr>
          <w:lang w:val="nl-NL"/>
        </w:rPr>
        <w:t>Ủy ban nhân dân (UBND)</w:t>
      </w:r>
      <w:r w:rsidR="00C069DC" w:rsidRPr="00E9299D">
        <w:rPr>
          <w:lang w:val="nl-NL"/>
        </w:rPr>
        <w:t xml:space="preserve"> các địa phương có thành lập Quỹ ĐTPTĐP (4</w:t>
      </w:r>
      <w:r w:rsidR="000B6D94" w:rsidRPr="00E9299D">
        <w:rPr>
          <w:lang w:val="nl-NL"/>
        </w:rPr>
        <w:t>4</w:t>
      </w:r>
      <w:r w:rsidR="00C069DC" w:rsidRPr="00E9299D">
        <w:rPr>
          <w:lang w:val="nl-NL"/>
        </w:rPr>
        <w:t xml:space="preserve"> địa phương) và Cổng thông tin điện tử của Chính phủ, Bộ Tài chính đã tổng hợp, hoàn thiện hồ sơ </w:t>
      </w:r>
      <w:r w:rsidR="00A743C9" w:rsidRPr="00E9299D">
        <w:rPr>
          <w:lang w:val="nl-NL"/>
        </w:rPr>
        <w:t>trình Chính phủ ban hành Nghị định</w:t>
      </w:r>
      <w:r w:rsidR="00C069DC" w:rsidRPr="00E9299D">
        <w:rPr>
          <w:lang w:val="nl-NL"/>
        </w:rPr>
        <w:t xml:space="preserve">. </w:t>
      </w:r>
    </w:p>
    <w:p w:rsidR="00A15A4B" w:rsidRPr="00E9299D" w:rsidRDefault="008C0CA6" w:rsidP="008917E5">
      <w:pPr>
        <w:widowControl w:val="0"/>
        <w:spacing w:before="120" w:after="120" w:line="360" w:lineRule="exact"/>
        <w:ind w:firstLine="720"/>
        <w:jc w:val="both"/>
        <w:outlineLvl w:val="0"/>
        <w:rPr>
          <w:lang w:val="nl-NL"/>
        </w:rPr>
      </w:pPr>
      <w:r w:rsidRPr="00E9299D">
        <w:rPr>
          <w:lang w:val="nl-NL"/>
        </w:rPr>
        <w:t>Trên cơ sở ý kiến thẩm định của Bộ Tư pháp</w:t>
      </w:r>
      <w:r w:rsidR="00A743C9" w:rsidRPr="00E9299D">
        <w:rPr>
          <w:lang w:val="nl-NL"/>
        </w:rPr>
        <w:t>,</w:t>
      </w:r>
      <w:r w:rsidRPr="00E9299D">
        <w:rPr>
          <w:lang w:val="nl-NL"/>
        </w:rPr>
        <w:t xml:space="preserve"> </w:t>
      </w:r>
      <w:r w:rsidR="00C069DC" w:rsidRPr="00E9299D">
        <w:rPr>
          <w:lang w:val="nl-NL"/>
        </w:rPr>
        <w:t>Bộ Tài chính xin báo cáo Chính phủ như sau:</w:t>
      </w:r>
    </w:p>
    <w:p w:rsidR="00A15A4B" w:rsidRPr="00E9299D" w:rsidRDefault="00C069DC" w:rsidP="008917E5">
      <w:pPr>
        <w:widowControl w:val="0"/>
        <w:spacing w:before="120" w:after="120" w:line="360" w:lineRule="exact"/>
        <w:ind w:firstLine="697"/>
        <w:jc w:val="both"/>
        <w:outlineLvl w:val="0"/>
        <w:rPr>
          <w:b/>
          <w:lang w:val="pt-BR"/>
        </w:rPr>
      </w:pPr>
      <w:r w:rsidRPr="00E9299D">
        <w:rPr>
          <w:b/>
          <w:lang w:val="pt-BR"/>
        </w:rPr>
        <w:t xml:space="preserve">I. Sự cần thiết ban hành Nghị định </w:t>
      </w:r>
    </w:p>
    <w:p w:rsidR="003E5913" w:rsidRPr="00E9299D" w:rsidRDefault="003E5913" w:rsidP="008917E5">
      <w:pPr>
        <w:widowControl w:val="0"/>
        <w:spacing w:before="120" w:after="120" w:line="360" w:lineRule="exact"/>
        <w:ind w:firstLine="697"/>
        <w:jc w:val="both"/>
        <w:rPr>
          <w:b/>
          <w:lang w:val="nl-NL"/>
        </w:rPr>
      </w:pPr>
      <w:r w:rsidRPr="00E9299D">
        <w:rPr>
          <w:b/>
          <w:lang w:val="nl-NL"/>
        </w:rPr>
        <w:t>1. Đánh giá triển khai Nghị định số 138 và Nghị định số 37</w:t>
      </w:r>
    </w:p>
    <w:p w:rsidR="003E5913" w:rsidRPr="00E9299D" w:rsidRDefault="003E5913" w:rsidP="008917E5">
      <w:pPr>
        <w:widowControl w:val="0"/>
        <w:spacing w:before="120" w:after="120" w:line="360" w:lineRule="exact"/>
        <w:ind w:firstLine="697"/>
        <w:jc w:val="both"/>
        <w:rPr>
          <w:b/>
          <w:i/>
          <w:lang w:val="nl-NL"/>
        </w:rPr>
      </w:pPr>
      <w:r w:rsidRPr="00E9299D">
        <w:rPr>
          <w:b/>
          <w:i/>
          <w:lang w:val="nl-NL"/>
        </w:rPr>
        <w:lastRenderedPageBreak/>
        <w:t>1.1. Kết quả đạt được</w:t>
      </w:r>
    </w:p>
    <w:p w:rsidR="00AD37D8" w:rsidRPr="00E9299D" w:rsidRDefault="008C0CA6" w:rsidP="008917E5">
      <w:pPr>
        <w:widowControl w:val="0"/>
        <w:spacing w:before="120" w:after="120" w:line="360" w:lineRule="exact"/>
        <w:ind w:firstLine="697"/>
        <w:jc w:val="both"/>
        <w:rPr>
          <w:lang w:val="nl-NL"/>
        </w:rPr>
      </w:pPr>
      <w:r w:rsidRPr="00E9299D">
        <w:rPr>
          <w:lang w:val="nl-NL"/>
        </w:rPr>
        <w:t>Triển khai quy định tại Nghị định số 138 và Nghị định số 37 từ năm 2007 đến nay</w:t>
      </w:r>
      <w:r w:rsidR="00AD37D8" w:rsidRPr="00E9299D">
        <w:rPr>
          <w:lang w:val="nl-NL"/>
        </w:rPr>
        <w:t xml:space="preserve">, đã có 44 địa phương thành lập Quỹ ĐTPTĐP với mục tiêu huy động các nguồn vốn trung và dài hạn để thực hiện cho vay, đầu tư trực tiếp các dự án trong lĩnh vực cơ sở hạ tầng kinh tế - xã hội tại địa phương. Đến 31/12/2018, số dư nguồn vốn hoạt động của hệ thống Quỹ là 34.980 tỷ đồng, gấp 5 lần so với năm 2007. Về cơ cấu, vốn chủ sở hữu chiếm 79% và vốn huy động chiếm 21%. Vốn huy động của các Quỹ ĐTPTĐP tương đương 26% vốn chủ sở hữu. Về sử dụng vốn, tính đến 31/12/2018, tổng vốn sử dụng cho các hoạt động cho vay, đầu tư trực tiếp và góp vốn thành lập doanh nghiệp của hệ thống Quỹ ĐTPTĐP là 18.111 tỷ đồng, gấp 5 lần so với năm 2007, trong đó hoạt động cho vay đầu tư cơ sở hạ tầng là 14.084 tỷ đồng, chiếm tỷ trọng lớn nhất trong cơ cấu sử dụng vốn của Quỹ (chiếm 77,7%). </w:t>
      </w:r>
    </w:p>
    <w:p w:rsidR="00A15A4B" w:rsidRPr="00E9299D" w:rsidRDefault="005C6171" w:rsidP="008917E5">
      <w:pPr>
        <w:widowControl w:val="0"/>
        <w:spacing w:before="120" w:after="120" w:line="360" w:lineRule="exact"/>
        <w:ind w:firstLine="697"/>
        <w:jc w:val="both"/>
        <w:rPr>
          <w:lang w:val="nl-NL"/>
        </w:rPr>
      </w:pPr>
      <w:r>
        <w:rPr>
          <w:lang w:val="nl-NL"/>
        </w:rPr>
        <w:t>N</w:t>
      </w:r>
      <w:r w:rsidR="00AD37D8" w:rsidRPr="00E9299D">
        <w:rPr>
          <w:lang w:val="nl-NL"/>
        </w:rPr>
        <w:t>guồn vốn cho vay và đầu tư của Quỹ ĐTPTĐP đã phát huy hiệu quả, đóng vai trò làm “vốn mồi” để huy động các nguồn vốn khác tham gia vào việc đầu tư cơ sở hạ tầng tại địa phương. Theo đó, tổng lợi nhuận của toàn hệ thống Quỹ ĐTPTĐP đến 31/12/2018 là 1.268 tỷ đồng, tăng 4 lần so với năm 2007. Hoạt động của hệ thống Quỹ ĐTPTĐP có tăng trưởng về quy mô, nguồn vốn hoạt động, góp phần vào việc huy động các nguồn lực tài chính cho đầu tư cơ sở hạ tầng tại địa phương.</w:t>
      </w:r>
    </w:p>
    <w:p w:rsidR="003E5913" w:rsidRPr="00E9299D" w:rsidRDefault="003E5913" w:rsidP="008917E5">
      <w:pPr>
        <w:widowControl w:val="0"/>
        <w:spacing w:before="120" w:after="120" w:line="360" w:lineRule="exact"/>
        <w:ind w:firstLine="697"/>
        <w:jc w:val="both"/>
        <w:rPr>
          <w:b/>
          <w:i/>
          <w:lang w:val="nl-NL"/>
        </w:rPr>
      </w:pPr>
      <w:r w:rsidRPr="00E9299D">
        <w:rPr>
          <w:b/>
          <w:i/>
          <w:lang w:val="nl-NL"/>
        </w:rPr>
        <w:t>1.2. Hạn chế, tồn tại</w:t>
      </w:r>
    </w:p>
    <w:p w:rsidR="00A15A4B" w:rsidRPr="00E9299D" w:rsidRDefault="00C069DC" w:rsidP="008917E5">
      <w:pPr>
        <w:widowControl w:val="0"/>
        <w:spacing w:before="120" w:after="120" w:line="360" w:lineRule="exact"/>
        <w:ind w:firstLine="697"/>
        <w:jc w:val="both"/>
        <w:rPr>
          <w:lang w:val="nl-NL"/>
        </w:rPr>
      </w:pPr>
      <w:r w:rsidRPr="00E9299D">
        <w:rPr>
          <w:lang w:val="nl-NL"/>
        </w:rPr>
        <w:t>Bên cạnh những kết quả đạt được, quá trình triển khai thời gian qua cho thấy hệ thống Quỹ ĐTPTĐP</w:t>
      </w:r>
      <w:r w:rsidR="005C6171">
        <w:rPr>
          <w:lang w:val="nl-NL"/>
        </w:rPr>
        <w:t xml:space="preserve"> chưa có sự phát triển đồng đều,</w:t>
      </w:r>
      <w:r w:rsidRPr="00E9299D">
        <w:rPr>
          <w:lang w:val="nl-NL"/>
        </w:rPr>
        <w:t xml:space="preserve"> </w:t>
      </w:r>
      <w:r w:rsidR="005C6171">
        <w:rPr>
          <w:lang w:val="nl-NL"/>
        </w:rPr>
        <w:t>m</w:t>
      </w:r>
      <w:r w:rsidRPr="00E9299D">
        <w:rPr>
          <w:lang w:val="nl-NL"/>
        </w:rPr>
        <w:t xml:space="preserve">ột số Quỹ hoạt động chưa hiệu quả, quy mô nhỏ, không huy động được vốn và không triển khai được các hoạt động cho vay, đầu tư. </w:t>
      </w:r>
      <w:r w:rsidR="005C6171">
        <w:rPr>
          <w:lang w:val="nl-NL"/>
        </w:rPr>
        <w:t>Bên cạnh đó, q</w:t>
      </w:r>
      <w:r w:rsidRPr="00E9299D">
        <w:rPr>
          <w:lang w:val="nl-NL"/>
        </w:rPr>
        <w:t>uy mô và hoạt động của một số Quỹ chưa đạt được hiệu quả như kỳ vọng, trong khi</w:t>
      </w:r>
      <w:r w:rsidR="00D869D7" w:rsidRPr="00E9299D">
        <w:rPr>
          <w:lang w:val="nl-NL"/>
        </w:rPr>
        <w:t xml:space="preserve"> để phát triển kinh tế và</w:t>
      </w:r>
      <w:r w:rsidRPr="00E9299D">
        <w:rPr>
          <w:lang w:val="nl-NL"/>
        </w:rPr>
        <w:t xml:space="preserve"> đầu tư</w:t>
      </w:r>
      <w:r w:rsidR="00D869D7" w:rsidRPr="00E9299D">
        <w:rPr>
          <w:lang w:val="nl-NL"/>
        </w:rPr>
        <w:t xml:space="preserve"> phát triển</w:t>
      </w:r>
      <w:r w:rsidRPr="00E9299D">
        <w:rPr>
          <w:lang w:val="nl-NL"/>
        </w:rPr>
        <w:t xml:space="preserve"> hạ tầng kinh tế - xã hội</w:t>
      </w:r>
      <w:r w:rsidR="00D869D7" w:rsidRPr="00E9299D">
        <w:rPr>
          <w:lang w:val="nl-NL"/>
        </w:rPr>
        <w:t>,</w:t>
      </w:r>
      <w:r w:rsidRPr="00E9299D">
        <w:rPr>
          <w:lang w:val="nl-NL"/>
        </w:rPr>
        <w:t xml:space="preserve"> các địa phương</w:t>
      </w:r>
      <w:r w:rsidR="00D869D7" w:rsidRPr="00E9299D">
        <w:rPr>
          <w:lang w:val="nl-NL"/>
        </w:rPr>
        <w:t xml:space="preserve"> </w:t>
      </w:r>
      <w:r w:rsidRPr="00E9299D">
        <w:rPr>
          <w:lang w:val="nl-NL"/>
        </w:rPr>
        <w:t xml:space="preserve">cần </w:t>
      </w:r>
      <w:r w:rsidR="00D869D7" w:rsidRPr="00E9299D">
        <w:rPr>
          <w:lang w:val="nl-NL"/>
        </w:rPr>
        <w:t xml:space="preserve">huy động được </w:t>
      </w:r>
      <w:r w:rsidRPr="00E9299D">
        <w:rPr>
          <w:lang w:val="nl-NL"/>
        </w:rPr>
        <w:t xml:space="preserve">nguồn lực </w:t>
      </w:r>
      <w:r w:rsidR="005C6171">
        <w:rPr>
          <w:lang w:val="nl-NL"/>
        </w:rPr>
        <w:t xml:space="preserve">ngày càng </w:t>
      </w:r>
      <w:r w:rsidR="00D869D7" w:rsidRPr="00E9299D">
        <w:rPr>
          <w:lang w:val="nl-NL"/>
        </w:rPr>
        <w:t>lớn</w:t>
      </w:r>
      <w:r w:rsidRPr="00E9299D">
        <w:rPr>
          <w:lang w:val="nl-NL"/>
        </w:rPr>
        <w:t>. Ngoài ra, trong thời gian vừa qua Luật Ngân sách Nhà nước, Luật Đầu tư và Luật quản lý, sử dụng vốn Nhà nước đầu tư vào sản xuất, kinh doanh tại doanh nghiệp mới được ban hành dẫn đến cần thiết rà soát lại các quy định về tổ chức và hoạt động của Quỹ ĐTPTĐP để phù hợp với quy định của pháp luật hiện hành. Trên cơ sở đánh giá, phân tích các hạn chế trong tổ chức thực hiện, đồng thời rà soát các văn bản pháp luật có liên quan, cần có các giải pháp chính sách nhằm cải cách và phát triển hệ thống Quỹ ĐTPTĐP. Cụ thể như sau:</w:t>
      </w:r>
    </w:p>
    <w:p w:rsidR="00A15A4B" w:rsidRPr="00E9299D" w:rsidRDefault="00C069DC" w:rsidP="008917E5">
      <w:pPr>
        <w:widowControl w:val="0"/>
        <w:spacing w:before="120" w:after="120" w:line="360" w:lineRule="exact"/>
        <w:ind w:firstLine="697"/>
        <w:jc w:val="both"/>
        <w:rPr>
          <w:lang w:val="nl-NL"/>
        </w:rPr>
      </w:pPr>
      <w:r w:rsidRPr="00E9299D">
        <w:rPr>
          <w:i/>
          <w:lang w:val="nl-NL"/>
        </w:rPr>
        <w:t>Thứ nhất,</w:t>
      </w:r>
      <w:r w:rsidRPr="00E9299D">
        <w:rPr>
          <w:lang w:val="nl-NL"/>
        </w:rPr>
        <w:t xml:space="preserve"> năng lực hoạt động của các Quỹ ĐTPTĐP vẫn còn hạn chế do nguồn vốn hoạt động còn thấp.</w:t>
      </w:r>
      <w:r w:rsidR="00D869D7" w:rsidRPr="00E9299D">
        <w:rPr>
          <w:lang w:val="nl-NL"/>
        </w:rPr>
        <w:t xml:space="preserve"> Một số địa phương còn chưa bố trí </w:t>
      </w:r>
      <w:r w:rsidR="005C6171">
        <w:rPr>
          <w:lang w:val="nl-NL"/>
        </w:rPr>
        <w:t>đủ</w:t>
      </w:r>
      <w:r w:rsidR="00D869D7" w:rsidRPr="00E9299D">
        <w:rPr>
          <w:lang w:val="nl-NL"/>
        </w:rPr>
        <w:t xml:space="preserve"> nguồn vốn điều lệ tối thiếu.</w:t>
      </w:r>
      <w:r w:rsidRPr="00E9299D">
        <w:rPr>
          <w:lang w:val="nl-NL"/>
        </w:rPr>
        <w:t xml:space="preserve"> Nguồn vốn hoạt động hạn chế đã ảnh hưởng tới việc triển khai </w:t>
      </w:r>
      <w:r w:rsidRPr="00E9299D">
        <w:rPr>
          <w:lang w:val="nl-NL"/>
        </w:rPr>
        <w:lastRenderedPageBreak/>
        <w:t>các nghiệp vụ của Quỹ ĐTPTĐP, hầu hết các Quỹ mới chỉ tập trung vào hoạt động cho vay dự án, chỉ một số ít Quỹ có nguồn lực để triển khai nghiệp vụ đầu tư, do đó chưa phát huy được vai trò là nguồn vốn mồi để thu hút các nguồn vốn khác trong xã hội cùng tham gia đầu tư kết cấu hạ tầng. Vì vậy, cần bổ sung quy định về điều kiện và quy trình thành lập Quỹ, tránh trường hợp địa phương không đủ nguồn lực và chưa xác định rõ mục tiêu đầu tư, cho vay vẫn thành lập Quỹ dẫn đến Quỹ có quy mô nhỏ, việc cho vay, đầu tư hạn chế. Đồng thời, cần thiết phải rà soát sửa đổi trách nhiệm của Ủy ban nhân dân, Hội đồng nhân dân cấp tỉnh trong việc quyết định thành lập Quỹ.</w:t>
      </w:r>
    </w:p>
    <w:p w:rsidR="00A15A4B" w:rsidRPr="00E9299D" w:rsidRDefault="00C069DC" w:rsidP="008917E5">
      <w:pPr>
        <w:widowControl w:val="0"/>
        <w:spacing w:before="120" w:after="120" w:line="360" w:lineRule="exact"/>
        <w:ind w:firstLine="697"/>
        <w:jc w:val="both"/>
        <w:rPr>
          <w:lang w:val="nl-NL"/>
        </w:rPr>
      </w:pPr>
      <w:r w:rsidRPr="00E9299D">
        <w:rPr>
          <w:i/>
          <w:lang w:val="nl-NL"/>
        </w:rPr>
        <w:t xml:space="preserve">Thứ hai, </w:t>
      </w:r>
      <w:r w:rsidRPr="00E9299D">
        <w:rPr>
          <w:lang w:val="nl-NL"/>
        </w:rPr>
        <w:t xml:space="preserve">Nghị định </w:t>
      </w:r>
      <w:r w:rsidR="00FB0A57" w:rsidRPr="00E9299D">
        <w:rPr>
          <w:lang w:val="nl-NL"/>
        </w:rPr>
        <w:t xml:space="preserve">số </w:t>
      </w:r>
      <w:r w:rsidRPr="00E9299D">
        <w:rPr>
          <w:lang w:val="nl-NL"/>
        </w:rPr>
        <w:t xml:space="preserve">138 và Nghị định </w:t>
      </w:r>
      <w:r w:rsidR="00FB0A57" w:rsidRPr="00E9299D">
        <w:rPr>
          <w:lang w:val="nl-NL"/>
        </w:rPr>
        <w:t xml:space="preserve">số </w:t>
      </w:r>
      <w:r w:rsidRPr="00E9299D">
        <w:rPr>
          <w:lang w:val="nl-NL"/>
        </w:rPr>
        <w:t xml:space="preserve">37 quy định Quỹ ĐTPTĐP là quỹ tài chính nhà nước tại địa phương, </w:t>
      </w:r>
      <w:r w:rsidR="00FB0A57" w:rsidRPr="00E9299D">
        <w:rPr>
          <w:lang w:val="nl-NL"/>
        </w:rPr>
        <w:t xml:space="preserve">áp dụng quy định </w:t>
      </w:r>
      <w:r w:rsidRPr="00E9299D">
        <w:rPr>
          <w:lang w:val="nl-NL"/>
        </w:rPr>
        <w:t xml:space="preserve">cơ chế tiền lương, khen thưởng, </w:t>
      </w:r>
      <w:r w:rsidR="000C0D01" w:rsidRPr="00E9299D">
        <w:rPr>
          <w:lang w:val="nl-NL"/>
        </w:rPr>
        <w:t>xếp hạng doanh nghiệp</w:t>
      </w:r>
      <w:r w:rsidR="00FB0A57" w:rsidRPr="00E9299D">
        <w:rPr>
          <w:lang w:val="nl-NL"/>
        </w:rPr>
        <w:t xml:space="preserve"> như đối với </w:t>
      </w:r>
      <w:r w:rsidR="000C0D01" w:rsidRPr="00E9299D">
        <w:rPr>
          <w:lang w:val="nl-NL"/>
        </w:rPr>
        <w:t>công ty trách nhiệm hữu hạn một thành viên do Nhà nước sở hữu 100% vốn</w:t>
      </w:r>
      <w:r w:rsidR="00FB0A57" w:rsidRPr="00E9299D">
        <w:rPr>
          <w:lang w:val="nl-NL"/>
        </w:rPr>
        <w:t xml:space="preserve">. Tuy nhiên, trong </w:t>
      </w:r>
      <w:r w:rsidR="008C3FF0" w:rsidRPr="00E9299D">
        <w:rPr>
          <w:lang w:val="nl-NL"/>
        </w:rPr>
        <w:t>thời gian qua, q</w:t>
      </w:r>
      <w:r w:rsidR="00FB0A57" w:rsidRPr="00E9299D">
        <w:rPr>
          <w:lang w:val="nl-NL"/>
        </w:rPr>
        <w:t xml:space="preserve">uy định liên quan đến cơ chế </w:t>
      </w:r>
      <w:r w:rsidR="00AA2BFE" w:rsidRPr="00E9299D">
        <w:rPr>
          <w:lang w:val="nl-NL"/>
        </w:rPr>
        <w:t>áp dụng đối với</w:t>
      </w:r>
      <w:r w:rsidR="00FB0A57" w:rsidRPr="00E9299D">
        <w:rPr>
          <w:lang w:val="nl-NL"/>
        </w:rPr>
        <w:t xml:space="preserve"> doanh nghiệp nhà nước đã được ban hành mới</w:t>
      </w:r>
      <w:r w:rsidR="00AA2BFE" w:rsidRPr="00E9299D">
        <w:rPr>
          <w:lang w:val="nl-NL"/>
        </w:rPr>
        <w:t xml:space="preserve"> ở cấp Luật và Nghị định</w:t>
      </w:r>
      <w:r w:rsidR="00FB0A57" w:rsidRPr="00E9299D">
        <w:rPr>
          <w:lang w:val="nl-NL"/>
        </w:rPr>
        <w:t xml:space="preserve">, </w:t>
      </w:r>
      <w:r w:rsidR="002D3FFD" w:rsidRPr="00E9299D">
        <w:rPr>
          <w:lang w:val="nl-NL"/>
        </w:rPr>
        <w:t>dẫn đến một số vướng mắc trong việc đánh giá hiệu quả hoạt động, xác định tiền lương, tiền thưởng.</w:t>
      </w:r>
      <w:r w:rsidR="00FB0A57" w:rsidRPr="00E9299D">
        <w:rPr>
          <w:lang w:val="nl-NL"/>
        </w:rPr>
        <w:t xml:space="preserve"> Mô hình hoạt động </w:t>
      </w:r>
      <w:r w:rsidR="005C6171">
        <w:rPr>
          <w:lang w:val="nl-NL"/>
        </w:rPr>
        <w:t xml:space="preserve">của Quỹ </w:t>
      </w:r>
      <w:r w:rsidR="00FB0A57" w:rsidRPr="00E9299D">
        <w:rPr>
          <w:lang w:val="nl-NL"/>
        </w:rPr>
        <w:t xml:space="preserve">với </w:t>
      </w:r>
      <w:r w:rsidRPr="00E9299D">
        <w:rPr>
          <w:lang w:val="nl-NL"/>
        </w:rPr>
        <w:t>Hội đồng quản lý</w:t>
      </w:r>
      <w:r w:rsidR="00CD01DE" w:rsidRPr="00E9299D">
        <w:rPr>
          <w:lang w:val="nl-NL"/>
        </w:rPr>
        <w:t xml:space="preserve"> Quỹ</w:t>
      </w:r>
      <w:r w:rsidRPr="00E9299D">
        <w:rPr>
          <w:lang w:val="nl-NL"/>
        </w:rPr>
        <w:t xml:space="preserve"> </w:t>
      </w:r>
      <w:r w:rsidR="00D869D7" w:rsidRPr="00E9299D">
        <w:rPr>
          <w:lang w:val="nl-NL"/>
        </w:rPr>
        <w:t>bao gồm</w:t>
      </w:r>
      <w:r w:rsidRPr="00E9299D">
        <w:rPr>
          <w:lang w:val="nl-NL"/>
        </w:rPr>
        <w:t xml:space="preserve"> </w:t>
      </w:r>
      <w:r w:rsidR="00FB0A57" w:rsidRPr="00E9299D">
        <w:rPr>
          <w:lang w:val="nl-NL"/>
        </w:rPr>
        <w:t xml:space="preserve">lãnh đạo </w:t>
      </w:r>
      <w:r w:rsidR="00251A9E" w:rsidRPr="00E9299D">
        <w:rPr>
          <w:lang w:val="nl-NL"/>
        </w:rPr>
        <w:t xml:space="preserve">Ủy ban nhân dân </w:t>
      </w:r>
      <w:r w:rsidR="002D3FFD" w:rsidRPr="00E9299D">
        <w:rPr>
          <w:lang w:val="nl-NL"/>
        </w:rPr>
        <w:t>cấp tỉnh</w:t>
      </w:r>
      <w:r w:rsidR="00FB0A57" w:rsidRPr="00E9299D">
        <w:rPr>
          <w:lang w:val="nl-NL"/>
        </w:rPr>
        <w:t xml:space="preserve"> và </w:t>
      </w:r>
      <w:r w:rsidRPr="00E9299D">
        <w:rPr>
          <w:lang w:val="nl-NL"/>
        </w:rPr>
        <w:t xml:space="preserve">cán bộ của </w:t>
      </w:r>
      <w:r w:rsidR="00D869D7" w:rsidRPr="00E9299D">
        <w:rPr>
          <w:lang w:val="nl-NL"/>
        </w:rPr>
        <w:t xml:space="preserve">một số </w:t>
      </w:r>
      <w:r w:rsidRPr="00E9299D">
        <w:rPr>
          <w:lang w:val="nl-NL"/>
        </w:rPr>
        <w:t>Sở, Ban ngành tại địa phương</w:t>
      </w:r>
      <w:r w:rsidR="00FB0A57" w:rsidRPr="00E9299D">
        <w:rPr>
          <w:lang w:val="nl-NL"/>
        </w:rPr>
        <w:t xml:space="preserve"> tại một số thời điểm chưa thực sự </w:t>
      </w:r>
      <w:r w:rsidR="00D869D7" w:rsidRPr="00E9299D">
        <w:rPr>
          <w:lang w:val="nl-NL"/>
        </w:rPr>
        <w:t>linh hoạt và hiệu quả cao</w:t>
      </w:r>
      <w:r w:rsidR="005C6171">
        <w:rPr>
          <w:lang w:val="nl-NL"/>
        </w:rPr>
        <w:t>, t</w:t>
      </w:r>
      <w:r w:rsidR="00FB0A57" w:rsidRPr="00E9299D">
        <w:rPr>
          <w:lang w:val="nl-NL"/>
        </w:rPr>
        <w:t>uy nhiên,</w:t>
      </w:r>
      <w:r w:rsidR="00CD01DE" w:rsidRPr="00E9299D">
        <w:rPr>
          <w:lang w:val="nl-NL"/>
        </w:rPr>
        <w:t xml:space="preserve"> </w:t>
      </w:r>
      <w:r w:rsidRPr="00E9299D">
        <w:rPr>
          <w:lang w:val="nl-NL"/>
        </w:rPr>
        <w:t>có tác động tích cực là hỗ trợ Quỹ trong việc tìm kiếm, đầu tư và cho vay đối với các dự án kết cấu hạ tầng kinh tế - xã hội tại địa phương</w:t>
      </w:r>
      <w:r w:rsidR="00D869D7" w:rsidRPr="00E9299D">
        <w:rPr>
          <w:lang w:val="nl-NL"/>
        </w:rPr>
        <w:t>, định hướng hoạt động của Quỹ, hỗ trợ cho mục tiêu phát triển kinh tế xã hội trên địa bàn</w:t>
      </w:r>
      <w:r w:rsidR="00CD01DE" w:rsidRPr="00E9299D">
        <w:rPr>
          <w:lang w:val="nl-NL"/>
        </w:rPr>
        <w:t xml:space="preserve">. </w:t>
      </w:r>
      <w:r w:rsidR="000C0D01" w:rsidRPr="00E9299D">
        <w:rPr>
          <w:lang w:val="nl-NL"/>
        </w:rPr>
        <w:t>T</w:t>
      </w:r>
      <w:r w:rsidR="002D3FFD" w:rsidRPr="00E9299D">
        <w:rPr>
          <w:lang w:val="nl-NL"/>
        </w:rPr>
        <w:t>heo đó</w:t>
      </w:r>
      <w:r w:rsidRPr="00E9299D">
        <w:rPr>
          <w:lang w:val="nl-NL"/>
        </w:rPr>
        <w:t xml:space="preserve">, </w:t>
      </w:r>
      <w:r w:rsidR="002D3FFD" w:rsidRPr="00E9299D">
        <w:rPr>
          <w:lang w:val="nl-NL"/>
        </w:rPr>
        <w:t>để nâng cao hiệu quả hoạt động của Quỹ, cần rà soát</w:t>
      </w:r>
      <w:r w:rsidR="005C6171">
        <w:rPr>
          <w:lang w:val="nl-NL"/>
        </w:rPr>
        <w:t>,</w:t>
      </w:r>
      <w:r w:rsidR="00D869D7" w:rsidRPr="00E9299D">
        <w:rPr>
          <w:lang w:val="nl-NL"/>
        </w:rPr>
        <w:t xml:space="preserve"> </w:t>
      </w:r>
      <w:r w:rsidR="00EF1A05" w:rsidRPr="00E9299D">
        <w:rPr>
          <w:lang w:val="nl-NL"/>
        </w:rPr>
        <w:t>củng cố phương thức hoạt động</w:t>
      </w:r>
      <w:r w:rsidR="005C6171">
        <w:rPr>
          <w:lang w:val="nl-NL"/>
        </w:rPr>
        <w:t xml:space="preserve"> của Quỹ</w:t>
      </w:r>
      <w:r w:rsidR="00EF1A05" w:rsidRPr="00E9299D">
        <w:rPr>
          <w:lang w:val="nl-NL"/>
        </w:rPr>
        <w:t xml:space="preserve"> phù hợp</w:t>
      </w:r>
      <w:r w:rsidR="00D869D7" w:rsidRPr="00E9299D">
        <w:rPr>
          <w:lang w:val="nl-NL"/>
        </w:rPr>
        <w:t xml:space="preserve"> với c</w:t>
      </w:r>
      <w:r w:rsidR="002D3FFD" w:rsidRPr="00E9299D">
        <w:rPr>
          <w:lang w:val="nl-NL"/>
        </w:rPr>
        <w:t>ơ chế áp dụng cho công ty trách nhiệm hữu hạn một thành viên do Nhà nước sở hữu 100% vốn</w:t>
      </w:r>
      <w:r w:rsidRPr="00E9299D">
        <w:rPr>
          <w:lang w:val="nl-NL"/>
        </w:rPr>
        <w:t xml:space="preserve">. </w:t>
      </w:r>
    </w:p>
    <w:p w:rsidR="00A15A4B" w:rsidRPr="00E9299D" w:rsidRDefault="00C069DC" w:rsidP="008917E5">
      <w:pPr>
        <w:widowControl w:val="0"/>
        <w:spacing w:before="120" w:after="120" w:line="360" w:lineRule="exact"/>
        <w:ind w:firstLine="697"/>
        <w:jc w:val="both"/>
        <w:rPr>
          <w:lang w:val="nl-NL"/>
        </w:rPr>
      </w:pPr>
      <w:r w:rsidRPr="00E9299D">
        <w:rPr>
          <w:i/>
          <w:lang w:val="nl-NL"/>
        </w:rPr>
        <w:t>Thứ ba,</w:t>
      </w:r>
      <w:r w:rsidRPr="00E9299D">
        <w:rPr>
          <w:lang w:val="nl-NL"/>
        </w:rPr>
        <w:t xml:space="preserve"> hoạt động của Quỹ ĐTPTĐP còn một số bất cập như mức lãi suất cho vay tối thiểu chưa phản ánh được đầy đủ chi phí, tỷ lệ nợ xấu ở mức cao của một số Quỹ chưa được xử lý dứt điểm, hoạt động đầu tư trực tiếp chưa được đẩy mạnh, cơ chế trích lập dự phòng rủi ro cho vay, đầu tư cần được hoàn thiện. </w:t>
      </w:r>
    </w:p>
    <w:p w:rsidR="00A15A4B" w:rsidRPr="00E9299D" w:rsidRDefault="00C069DC" w:rsidP="008917E5">
      <w:pPr>
        <w:widowControl w:val="0"/>
        <w:spacing w:before="120" w:after="120" w:line="360" w:lineRule="exact"/>
        <w:ind w:firstLine="697"/>
        <w:jc w:val="both"/>
        <w:rPr>
          <w:lang w:val="nl-NL"/>
        </w:rPr>
      </w:pPr>
      <w:r w:rsidRPr="00E9299D">
        <w:rPr>
          <w:i/>
          <w:lang w:val="nl-NL"/>
        </w:rPr>
        <w:t>Thứ tư,</w:t>
      </w:r>
      <w:r w:rsidRPr="00E9299D">
        <w:rPr>
          <w:lang w:val="nl-NL"/>
        </w:rPr>
        <w:t xml:space="preserve"> cơ chế quản lý giám sát cần phải tiếp tục hoàn thiện theo hướng (i) có biện pháp xử lý dứt điểm đối với những Quỹ hoạt động không hiệu quả, không hoạt động theo đúng mục đích thành lập Quỹ (ii) bổ sung trách nhiệm của các Bộ, ngành và Ủy ban nhân dân (UBND) trong việc quản lý giám sát hoạt động của Quỹ ĐTPTĐP, đặc biệt là trách nhiệm của UBND. Thủ tướng Chính phủ đã có chỉ đạo về việc hướng dẫn và giám sát các địa phương về việc cho dừng và giải thể các Quỹ ĐTPTĐP hoạt động không hiệu quả, không đúng mục đích, quy định của pháp luật theo Chỉ thị số 22/CT-TTg và Công văn số 5335/VPCP-KTTH. Theo đó, đối với những Quỹ hoạt động không hiệu quả (không triển khai được các hoạt động theo quy định của Nghị định), không có </w:t>
      </w:r>
      <w:r w:rsidRPr="00E9299D">
        <w:rPr>
          <w:lang w:val="nl-NL"/>
        </w:rPr>
        <w:lastRenderedPageBreak/>
        <w:t>nguồn lực để hoạt động (không đủ mức vốn điều lệ thực có tối thiếu là 100 tỷ đồng), cần có căn cứ pháp lý để rà soát, chấm dứt, giải thể hoạt động nhằm tránh lãng phí nguồn lực, không hiệu quả trong việc duy trì bộ máy hoạt động.</w:t>
      </w:r>
    </w:p>
    <w:p w:rsidR="00A15A4B" w:rsidRPr="00E9299D" w:rsidRDefault="00C069DC" w:rsidP="008917E5">
      <w:pPr>
        <w:widowControl w:val="0"/>
        <w:spacing w:before="120" w:after="120" w:line="360" w:lineRule="exact"/>
        <w:ind w:firstLine="697"/>
        <w:jc w:val="both"/>
        <w:rPr>
          <w:lang w:val="nl-NL"/>
        </w:rPr>
      </w:pPr>
      <w:r w:rsidRPr="00E9299D">
        <w:rPr>
          <w:i/>
          <w:lang w:val="nl-NL"/>
        </w:rPr>
        <w:t>Thứ năm</w:t>
      </w:r>
      <w:r w:rsidRPr="00E9299D">
        <w:rPr>
          <w:lang w:val="nl-NL"/>
        </w:rPr>
        <w:t>, trong thời gian vừa qua, một số văn bản pháp luật có quy định điều chỉnh về hoạt động của Quỹ ĐTPTĐP đã được ban hành mới như Luật Ngân sách nhà nước, Luật Đầu tư, Luật Quản lý, sử dụng vốn nhà nước đầu tư vào sản xuất, kinh doanh tại doanh nghiệp. Do đó, cần phải rà soát</w:t>
      </w:r>
      <w:r w:rsidR="006D1F87" w:rsidRPr="00E9299D">
        <w:rPr>
          <w:lang w:val="nl-NL"/>
        </w:rPr>
        <w:t>,</w:t>
      </w:r>
      <w:r w:rsidRPr="00E9299D">
        <w:rPr>
          <w:lang w:val="nl-NL"/>
        </w:rPr>
        <w:t xml:space="preserve"> sửa đổi các quy định tại Nghị định để phù hợp với các quy định hiện hành.</w:t>
      </w:r>
    </w:p>
    <w:p w:rsidR="003E5913" w:rsidRPr="00E9299D" w:rsidRDefault="003E5913" w:rsidP="008917E5">
      <w:pPr>
        <w:widowControl w:val="0"/>
        <w:spacing w:before="120" w:after="120" w:line="360" w:lineRule="exact"/>
        <w:ind w:firstLine="697"/>
        <w:jc w:val="both"/>
        <w:rPr>
          <w:b/>
          <w:lang w:val="nl-NL"/>
        </w:rPr>
      </w:pPr>
      <w:r w:rsidRPr="00E9299D">
        <w:rPr>
          <w:b/>
          <w:lang w:val="nl-NL"/>
        </w:rPr>
        <w:t>2. Sự cần thiết ban hành Nghị định thay thế Nghị định số 138 và Nghị định số 37</w:t>
      </w:r>
    </w:p>
    <w:p w:rsidR="00A15A4B" w:rsidRPr="00E9299D" w:rsidRDefault="00C069DC" w:rsidP="008917E5">
      <w:pPr>
        <w:widowControl w:val="0"/>
        <w:spacing w:before="120" w:after="120" w:line="360" w:lineRule="exact"/>
        <w:ind w:firstLine="697"/>
        <w:jc w:val="both"/>
        <w:rPr>
          <w:lang w:val="nl-NL"/>
        </w:rPr>
      </w:pPr>
      <w:r w:rsidRPr="00E9299D">
        <w:rPr>
          <w:lang w:val="nl-NL"/>
        </w:rPr>
        <w:t xml:space="preserve">Trên cơ sở đánh giá quá trình triển khai Nghị định số 138 và Nghị định số 37 (cụ thể tại Báo cáo tổng kết thi hành Nghị định trình kèm) các Bộ, ngành; các địa phương và Quỹ ĐTPTĐP đều thống nhất về sự cần thiết ban hành Nghị định quy định về tổ chức và hoạt động của Quỹ ĐTPTĐP. Việc ban hành Nghị định đáp ứng được các yêu cầu sau: </w:t>
      </w:r>
    </w:p>
    <w:p w:rsidR="00A15A4B" w:rsidRPr="00E9299D" w:rsidRDefault="00C069DC" w:rsidP="008917E5">
      <w:pPr>
        <w:widowControl w:val="0"/>
        <w:spacing w:before="120" w:after="120" w:line="360" w:lineRule="exact"/>
        <w:ind w:firstLine="697"/>
        <w:jc w:val="both"/>
        <w:rPr>
          <w:lang w:val="nl-NL"/>
        </w:rPr>
      </w:pPr>
      <w:r w:rsidRPr="00E9299D">
        <w:rPr>
          <w:i/>
          <w:lang w:val="nl-NL"/>
        </w:rPr>
        <w:t xml:space="preserve">Một là, </w:t>
      </w:r>
      <w:r w:rsidRPr="00E9299D">
        <w:rPr>
          <w:lang w:val="nl-NL"/>
        </w:rPr>
        <w:t xml:space="preserve">xây dựng khung khổ pháp lý thống nhất để tạo điều kiện cho các Quỹ ĐTPTĐP hoạt động nhằm khắc phục các tồn tại, hạn chế trong tổ chức và hoạt động, đảm bảo phù hợp, đồng bộ với khung khổ pháp lý hiện hành; </w:t>
      </w:r>
    </w:p>
    <w:p w:rsidR="00A15A4B" w:rsidRPr="00E9299D" w:rsidRDefault="00C069DC" w:rsidP="008917E5">
      <w:pPr>
        <w:widowControl w:val="0"/>
        <w:spacing w:before="120" w:after="120" w:line="360" w:lineRule="exact"/>
        <w:ind w:firstLine="697"/>
        <w:jc w:val="both"/>
        <w:rPr>
          <w:lang w:val="nl-NL"/>
        </w:rPr>
      </w:pPr>
      <w:r w:rsidRPr="00E9299D">
        <w:rPr>
          <w:i/>
          <w:lang w:val="nl-NL"/>
        </w:rPr>
        <w:t>Hai là,</w:t>
      </w:r>
      <w:r w:rsidRPr="00E9299D">
        <w:rPr>
          <w:lang w:val="nl-NL"/>
        </w:rPr>
        <w:t xml:space="preserve"> góp phần giảm rủi ro trong hoạt động cho vay, đầu tư của các Quỹ, nâng cao năng lực hoạt động của hệ thống Quỹ ĐTPTĐP; </w:t>
      </w:r>
    </w:p>
    <w:p w:rsidR="00A15A4B" w:rsidRPr="00E9299D" w:rsidRDefault="00C069DC" w:rsidP="008917E5">
      <w:pPr>
        <w:widowControl w:val="0"/>
        <w:spacing w:before="120" w:after="120" w:line="360" w:lineRule="exact"/>
        <w:ind w:firstLine="697"/>
        <w:jc w:val="both"/>
        <w:rPr>
          <w:lang w:val="nl-NL"/>
        </w:rPr>
      </w:pPr>
      <w:r w:rsidRPr="00E9299D">
        <w:rPr>
          <w:i/>
          <w:lang w:val="nl-NL"/>
        </w:rPr>
        <w:t>Ba là</w:t>
      </w:r>
      <w:r w:rsidRPr="00E9299D">
        <w:rPr>
          <w:lang w:val="nl-NL"/>
        </w:rPr>
        <w:t>, nâng cao hiệu quả quản lý, giám sát hoạt động của hệ thống Quỹ ĐTPTĐP.</w:t>
      </w:r>
    </w:p>
    <w:p w:rsidR="00A15A4B" w:rsidRPr="00E9299D" w:rsidRDefault="00C069DC" w:rsidP="008917E5">
      <w:pPr>
        <w:widowControl w:val="0"/>
        <w:spacing w:before="120" w:after="120" w:line="360" w:lineRule="exact"/>
        <w:ind w:firstLine="697"/>
        <w:jc w:val="both"/>
        <w:rPr>
          <w:b/>
          <w:lang w:val="pt-BR"/>
        </w:rPr>
      </w:pPr>
      <w:r w:rsidRPr="00E9299D">
        <w:rPr>
          <w:b/>
          <w:lang w:val="pt-BR"/>
        </w:rPr>
        <w:t xml:space="preserve">II. Mục đích, quan điểm </w:t>
      </w:r>
      <w:r w:rsidR="00DD4ABD" w:rsidRPr="00E9299D">
        <w:rPr>
          <w:b/>
          <w:lang w:val="pt-BR"/>
        </w:rPr>
        <w:t xml:space="preserve">chỉ đạo việc </w:t>
      </w:r>
      <w:r w:rsidRPr="00E9299D">
        <w:rPr>
          <w:b/>
          <w:lang w:val="pt-BR"/>
        </w:rPr>
        <w:t>xây dựng Nghị định</w:t>
      </w:r>
    </w:p>
    <w:p w:rsidR="00A15A4B" w:rsidRPr="00E9299D" w:rsidRDefault="00C069DC" w:rsidP="008917E5">
      <w:pPr>
        <w:widowControl w:val="0"/>
        <w:spacing w:before="120" w:after="120" w:line="360" w:lineRule="exact"/>
        <w:ind w:firstLine="697"/>
        <w:jc w:val="both"/>
        <w:rPr>
          <w:b/>
          <w:lang w:val="pt-BR"/>
        </w:rPr>
      </w:pPr>
      <w:r w:rsidRPr="00E9299D">
        <w:rPr>
          <w:b/>
          <w:lang w:val="pt-BR"/>
        </w:rPr>
        <w:t>1. Mục đích</w:t>
      </w:r>
    </w:p>
    <w:p w:rsidR="00A15A4B" w:rsidRPr="00E9299D" w:rsidRDefault="00C069DC" w:rsidP="008917E5">
      <w:pPr>
        <w:widowControl w:val="0"/>
        <w:spacing w:before="120" w:after="120" w:line="360" w:lineRule="exact"/>
        <w:ind w:firstLine="697"/>
        <w:jc w:val="both"/>
        <w:rPr>
          <w:lang w:val="nl-NL"/>
        </w:rPr>
      </w:pPr>
      <w:r w:rsidRPr="00E9299D">
        <w:rPr>
          <w:lang w:val="pt-BR"/>
        </w:rPr>
        <w:t xml:space="preserve">Việc ban hành Nghị định quy định về tổ chức và hoạt động của Quỹ ĐTPTĐP nhằm </w:t>
      </w:r>
      <w:r w:rsidRPr="00E9299D">
        <w:rPr>
          <w:lang w:val="nl-NL"/>
        </w:rPr>
        <w:t>nâng</w:t>
      </w:r>
      <w:r w:rsidR="005C6171">
        <w:rPr>
          <w:lang w:val="nl-NL"/>
        </w:rPr>
        <w:t xml:space="preserve"> cao hiệu quả quản lý, giám sát</w:t>
      </w:r>
      <w:r w:rsidRPr="00E9299D">
        <w:rPr>
          <w:lang w:val="nl-NL"/>
        </w:rPr>
        <w:t>, tăng cường năng lực hoạt động, tạo điều kiện thuận lợi cho các Quỹ hoạt động trên cơ sở khắc phục được các tồn tại, hạn chế trong tổ chức và hoạt động của Quỹ trong thời gian qua.</w:t>
      </w:r>
      <w:r w:rsidR="00876C18" w:rsidRPr="00E9299D">
        <w:rPr>
          <w:lang w:val="nl-NL"/>
        </w:rPr>
        <w:t xml:space="preserve"> Theo đó, mục tiêu</w:t>
      </w:r>
      <w:r w:rsidR="005C6171">
        <w:rPr>
          <w:lang w:val="nl-NL"/>
        </w:rPr>
        <w:t xml:space="preserve"> ban hành Nghị định thay thế Nghị định số 138 và Nghị định số 37 như sau</w:t>
      </w:r>
      <w:r w:rsidR="00876C18" w:rsidRPr="00E9299D">
        <w:rPr>
          <w:lang w:val="nl-NL"/>
        </w:rPr>
        <w:t>:</w:t>
      </w:r>
    </w:p>
    <w:p w:rsidR="00A15A4B" w:rsidRPr="00E9299D" w:rsidRDefault="00C069DC" w:rsidP="008917E5">
      <w:pPr>
        <w:widowControl w:val="0"/>
        <w:spacing w:before="120" w:after="120" w:line="360" w:lineRule="exact"/>
        <w:ind w:firstLine="697"/>
        <w:jc w:val="both"/>
        <w:rPr>
          <w:lang w:val="nl-NL"/>
        </w:rPr>
      </w:pPr>
      <w:r w:rsidRPr="00E9299D">
        <w:rPr>
          <w:i/>
          <w:lang w:val="nl-NL"/>
        </w:rPr>
        <w:t xml:space="preserve">- Thứ nhất, </w:t>
      </w:r>
      <w:r w:rsidRPr="00E9299D">
        <w:rPr>
          <w:lang w:val="nl-NL"/>
        </w:rPr>
        <w:t>tuân thủ các quy định của Luật Ngân sách nhà nước, Luật doanh nghiệp, Luật các tổ chức tín dụng và các quy định pháp luật có liên quan để đảm bảo tính thống nhất, đồng bộ về pháp lý</w:t>
      </w:r>
      <w:r w:rsidR="005C6171">
        <w:rPr>
          <w:lang w:val="nl-NL"/>
        </w:rPr>
        <w:t xml:space="preserve"> trong quy định về tổ chức và hoạt động của Quỹ ĐTPTĐP</w:t>
      </w:r>
      <w:r w:rsidRPr="00E9299D">
        <w:rPr>
          <w:lang w:val="nl-NL"/>
        </w:rPr>
        <w:t xml:space="preserve">. </w:t>
      </w:r>
    </w:p>
    <w:p w:rsidR="00A15A4B" w:rsidRPr="00E9299D" w:rsidRDefault="00C069DC" w:rsidP="008917E5">
      <w:pPr>
        <w:widowControl w:val="0"/>
        <w:spacing w:before="120" w:after="120" w:line="360" w:lineRule="exact"/>
        <w:ind w:firstLine="697"/>
        <w:jc w:val="both"/>
        <w:rPr>
          <w:lang w:val="nl-NL"/>
        </w:rPr>
      </w:pPr>
      <w:r w:rsidRPr="00E9299D">
        <w:rPr>
          <w:i/>
          <w:lang w:val="nl-NL"/>
        </w:rPr>
        <w:t xml:space="preserve">- Thứ hai, </w:t>
      </w:r>
      <w:r w:rsidRPr="00E9299D">
        <w:rPr>
          <w:lang w:val="nl-NL"/>
        </w:rPr>
        <w:t xml:space="preserve">kế thừa những ưu điểm và những nội dung còn phù hợp tại Nghị định số 138 và Nghị định số 37 để xây dựng Nghị định mới; đồng thời, bổ </w:t>
      </w:r>
      <w:r w:rsidRPr="00E9299D">
        <w:rPr>
          <w:lang w:val="nl-NL"/>
        </w:rPr>
        <w:lastRenderedPageBreak/>
        <w:t xml:space="preserve">sung, hoàn chỉnh nhằm khắc phục những hạn chế, tồn tại trong quá trình triển khai thực hiện các nghị định nêu trên. </w:t>
      </w:r>
    </w:p>
    <w:p w:rsidR="00A15A4B" w:rsidRPr="00E9299D" w:rsidRDefault="00C069DC" w:rsidP="008917E5">
      <w:pPr>
        <w:widowControl w:val="0"/>
        <w:spacing w:before="120" w:after="120" w:line="360" w:lineRule="exact"/>
        <w:ind w:firstLine="709"/>
        <w:jc w:val="both"/>
        <w:outlineLvl w:val="0"/>
        <w:rPr>
          <w:lang w:val="nl-NL"/>
        </w:rPr>
      </w:pPr>
      <w:r w:rsidRPr="00E9299D">
        <w:rPr>
          <w:i/>
          <w:lang w:val="nl-NL"/>
        </w:rPr>
        <w:t xml:space="preserve">- Thứ ba, </w:t>
      </w:r>
      <w:r w:rsidRPr="00E9299D">
        <w:rPr>
          <w:lang w:val="nl-NL"/>
        </w:rPr>
        <w:t>nghiên cứu, bổ sung những nội dung quy định mới để phù hợp với yêu cầu nâng cao hiệu quả quản lý, giám sát và góp phần phát triển hệ thống Quỹ ĐTPTĐP.</w:t>
      </w:r>
    </w:p>
    <w:p w:rsidR="00876C18" w:rsidRPr="00E9299D" w:rsidRDefault="00876C18" w:rsidP="008917E5">
      <w:pPr>
        <w:widowControl w:val="0"/>
        <w:spacing w:before="120" w:after="120" w:line="360" w:lineRule="exact"/>
        <w:ind w:firstLine="709"/>
        <w:jc w:val="both"/>
        <w:outlineLvl w:val="0"/>
        <w:rPr>
          <w:b/>
          <w:lang w:val="nl-NL"/>
        </w:rPr>
      </w:pPr>
      <w:r w:rsidRPr="00E9299D">
        <w:rPr>
          <w:b/>
          <w:lang w:val="nl-NL"/>
        </w:rPr>
        <w:t>2. Quan điểm chỉ đạo</w:t>
      </w:r>
    </w:p>
    <w:p w:rsidR="00876C18" w:rsidRPr="00E9299D" w:rsidRDefault="003D2471" w:rsidP="008917E5">
      <w:pPr>
        <w:widowControl w:val="0"/>
        <w:spacing w:before="120" w:after="120" w:line="360" w:lineRule="exact"/>
        <w:ind w:firstLine="709"/>
        <w:jc w:val="both"/>
        <w:outlineLvl w:val="0"/>
        <w:rPr>
          <w:i/>
          <w:lang w:val="nl-NL"/>
        </w:rPr>
      </w:pPr>
      <w:r w:rsidRPr="00E9299D">
        <w:rPr>
          <w:lang w:val="nl-NL"/>
        </w:rPr>
        <w:t xml:space="preserve">- </w:t>
      </w:r>
      <w:r w:rsidR="008B6D8C" w:rsidRPr="00E9299D">
        <w:rPr>
          <w:lang w:val="nl-NL"/>
        </w:rPr>
        <w:t>Chỉ thị số 22</w:t>
      </w:r>
      <w:r w:rsidRPr="00E9299D">
        <w:rPr>
          <w:lang w:val="nl-NL"/>
        </w:rPr>
        <w:t>/CT-TT</w:t>
      </w:r>
      <w:r w:rsidR="008C0CA6" w:rsidRPr="00E9299D">
        <w:rPr>
          <w:lang w:val="nl-NL"/>
        </w:rPr>
        <w:t>g ngày 27/8/2013 của Thủ tướng Chính phủ</w:t>
      </w:r>
      <w:r w:rsidRPr="00E9299D">
        <w:rPr>
          <w:lang w:val="nl-NL"/>
        </w:rPr>
        <w:t xml:space="preserve"> về việc tăng cường </w:t>
      </w:r>
      <w:r w:rsidR="00E51A9E" w:rsidRPr="00E9299D">
        <w:rPr>
          <w:lang w:val="nl-NL"/>
        </w:rPr>
        <w:t>công tác quản lý đối với các quỹ tài chính nhà nước</w:t>
      </w:r>
      <w:r w:rsidR="00CC35FD" w:rsidRPr="00E9299D">
        <w:rPr>
          <w:lang w:val="nl-NL"/>
        </w:rPr>
        <w:t>, yêu cầu các Bộ, ngành và Uỷ ban nhân dân cấp tỉnh "</w:t>
      </w:r>
      <w:r w:rsidR="00CC35FD" w:rsidRPr="00E9299D">
        <w:rPr>
          <w:i/>
          <w:lang w:val="nl-NL"/>
        </w:rPr>
        <w:t>khẩn trương rà soát các quy định hiện hành liên quan đến việc thành lập, hoạt động và quản lý đối với các quỹ tài chính ngoài ngân sách nhà nước trong phạm vi ngành, lĩnh vực và địa bàn được phân công phụ trách, nhất là các quy định về chế độ tiền lương, tiền thưởng và trích lập quỹ khen thưởng, phúc lợi, mở tài khoản tại Kho bạc Nhà nước đối với các quỹ có nguồn gốc từ ngân sách nhà nước; trên cơ sở đó, sửa đổi, bổ sung cho phù hợp với pháp luật hiện hành</w:t>
      </w:r>
      <w:r w:rsidR="00CC35FD" w:rsidRPr="00E9299D">
        <w:rPr>
          <w:lang w:val="nl-NL"/>
        </w:rPr>
        <w:t>", đồng thời "</w:t>
      </w:r>
      <w:r w:rsidR="00CC35FD" w:rsidRPr="00E9299D">
        <w:rPr>
          <w:i/>
          <w:lang w:val="nl-NL"/>
        </w:rPr>
        <w:t>rà soát, đánh giá hiệu quả hoạt động của các quỹ tài chính ngoài ngân sách nhà nước"; "tăng cường giám sát, thanh tra, kiểm tra hoạt động và việc chấp hành pháp luật của các quỹ tài chính ngoài ngân sách nhà nước, bảo đảm nguồn lực tài chính nhà nước được quản lý, sử dụng hiệu quả, công khai, minh bạch"</w:t>
      </w:r>
      <w:r w:rsidR="00CC35FD" w:rsidRPr="00E9299D">
        <w:rPr>
          <w:lang w:val="nl-NL"/>
        </w:rPr>
        <w:t>.</w:t>
      </w:r>
      <w:r w:rsidR="00CC35FD" w:rsidRPr="00E9299D">
        <w:rPr>
          <w:i/>
          <w:lang w:val="nl-NL"/>
        </w:rPr>
        <w:t xml:space="preserve"> </w:t>
      </w:r>
    </w:p>
    <w:p w:rsidR="008B6D8C" w:rsidRPr="00E9299D" w:rsidRDefault="00CC35FD" w:rsidP="008917E5">
      <w:pPr>
        <w:widowControl w:val="0"/>
        <w:spacing w:before="120" w:after="120" w:line="360" w:lineRule="exact"/>
        <w:ind w:firstLine="709"/>
        <w:jc w:val="both"/>
        <w:outlineLvl w:val="0"/>
        <w:rPr>
          <w:lang w:val="nl-NL"/>
        </w:rPr>
      </w:pPr>
      <w:r w:rsidRPr="00E9299D">
        <w:rPr>
          <w:lang w:val="nl-NL"/>
        </w:rPr>
        <w:t xml:space="preserve">- </w:t>
      </w:r>
      <w:r w:rsidR="008C0CA6" w:rsidRPr="00E9299D">
        <w:rPr>
          <w:lang w:val="nl-NL"/>
        </w:rPr>
        <w:t>Đ</w:t>
      </w:r>
      <w:r w:rsidRPr="00E9299D">
        <w:rPr>
          <w:lang w:val="nl-NL"/>
        </w:rPr>
        <w:t xml:space="preserve">ối với hoạt động của Quỹ ĐTPTĐP, </w:t>
      </w:r>
      <w:r w:rsidR="008C0CA6" w:rsidRPr="00E9299D">
        <w:rPr>
          <w:lang w:val="nl-NL"/>
        </w:rPr>
        <w:t xml:space="preserve">Phó Thủ tướng Vương Đình Huệ chỉ đạo </w:t>
      </w:r>
      <w:r w:rsidRPr="00E9299D">
        <w:rPr>
          <w:lang w:val="nl-NL"/>
        </w:rPr>
        <w:t xml:space="preserve">giao Bộ Tài </w:t>
      </w:r>
      <w:r w:rsidRPr="00E9299D">
        <w:rPr>
          <w:i/>
          <w:lang w:val="nl-NL"/>
        </w:rPr>
        <w:t xml:space="preserve">chính </w:t>
      </w:r>
      <w:r w:rsidR="00D5439B" w:rsidRPr="00E9299D">
        <w:rPr>
          <w:i/>
          <w:lang w:val="nl-NL"/>
        </w:rPr>
        <w:t>"</w:t>
      </w:r>
      <w:r w:rsidRPr="00E9299D">
        <w:rPr>
          <w:i/>
          <w:lang w:val="nl-NL"/>
        </w:rPr>
        <w:t xml:space="preserve">chủ trì, phối hợp với Ngân hàng Nhà nước Việt Nam và các Bộ, cơ quan liên quan hướng dẫn và giám sát Ủy ban nhân dân các địa phương thực hiện đúng các chỉ đạo của Thủ tướng Chính phủ tại Chỉ thị số 22/CT-TTg ngày 27/8/2015 về việc cho dừng hoạt động và giải thể các Quỹ đã thành lập nhưng không hiệu quả, hoạt động không đúng mục đích, quy định </w:t>
      </w:r>
      <w:r w:rsidR="00D5439B" w:rsidRPr="00E9299D">
        <w:rPr>
          <w:i/>
          <w:lang w:val="nl-NL"/>
        </w:rPr>
        <w:t>của pháp luât"</w:t>
      </w:r>
      <w:r w:rsidR="008C0CA6" w:rsidRPr="00E9299D">
        <w:rPr>
          <w:lang w:val="nl-NL"/>
        </w:rPr>
        <w:t xml:space="preserve"> (Công văn 5335/VPCP-KTTH ngày 24/5/2017 của Văn phòng Chính phủ)</w:t>
      </w:r>
      <w:r w:rsidR="00D5439B" w:rsidRPr="00E9299D">
        <w:rPr>
          <w:lang w:val="nl-NL"/>
        </w:rPr>
        <w:t>.</w:t>
      </w:r>
    </w:p>
    <w:p w:rsidR="00D5439B" w:rsidRPr="00E9299D" w:rsidRDefault="008C0CA6" w:rsidP="008917E5">
      <w:pPr>
        <w:widowControl w:val="0"/>
        <w:spacing w:before="120" w:after="120" w:line="360" w:lineRule="exact"/>
        <w:ind w:firstLine="709"/>
        <w:jc w:val="both"/>
        <w:outlineLvl w:val="0"/>
        <w:rPr>
          <w:lang w:val="nl-NL"/>
        </w:rPr>
      </w:pPr>
      <w:r w:rsidRPr="00E9299D">
        <w:rPr>
          <w:lang w:val="nl-NL"/>
        </w:rPr>
        <w:t>T</w:t>
      </w:r>
      <w:r w:rsidR="00D5439B" w:rsidRPr="00E9299D">
        <w:rPr>
          <w:lang w:val="nl-NL"/>
        </w:rPr>
        <w:t xml:space="preserve">heo quy trình </w:t>
      </w:r>
      <w:r w:rsidR="005C6171">
        <w:rPr>
          <w:lang w:val="nl-NL"/>
        </w:rPr>
        <w:t xml:space="preserve">soạn thảo văn bản </w:t>
      </w:r>
      <w:r w:rsidR="00D5439B" w:rsidRPr="00E9299D">
        <w:rPr>
          <w:lang w:val="nl-NL"/>
        </w:rPr>
        <w:t xml:space="preserve">của Luật Ban </w:t>
      </w:r>
      <w:r w:rsidR="005C6171">
        <w:rPr>
          <w:lang w:val="nl-NL"/>
        </w:rPr>
        <w:t>hành văn bản quy phạm pháp luật</w:t>
      </w:r>
      <w:r w:rsidR="00D5439B" w:rsidRPr="00E9299D">
        <w:rPr>
          <w:lang w:val="nl-NL"/>
        </w:rPr>
        <w:t xml:space="preserve">, Bộ Tài chính </w:t>
      </w:r>
      <w:r w:rsidRPr="00E9299D">
        <w:rPr>
          <w:lang w:val="nl-NL"/>
        </w:rPr>
        <w:t xml:space="preserve">phối hợp với các Bộ, ngành, UBND cấp tỉnh và các Quỹ ĐTPTĐP, </w:t>
      </w:r>
      <w:r w:rsidR="00D5439B" w:rsidRPr="00E9299D">
        <w:rPr>
          <w:lang w:val="nl-NL"/>
        </w:rPr>
        <w:t xml:space="preserve"> xây dựng Nghị định thay thế các Nghị định số 138 và Nghị định số 37 về tổ chức và hoạt động của Quỹ ĐTPTĐP</w:t>
      </w:r>
      <w:r w:rsidRPr="00E9299D">
        <w:rPr>
          <w:lang w:val="nl-NL"/>
        </w:rPr>
        <w:t xml:space="preserve"> qu</w:t>
      </w:r>
      <w:r w:rsidR="005C6171">
        <w:rPr>
          <w:lang w:val="nl-NL"/>
        </w:rPr>
        <w:t>á</w:t>
      </w:r>
      <w:r w:rsidRPr="00E9299D">
        <w:rPr>
          <w:lang w:val="nl-NL"/>
        </w:rPr>
        <w:t>n triệt theo quan điểm, chỉ đạo nêu trên của Chính phủ</w:t>
      </w:r>
      <w:r w:rsidR="00D5439B" w:rsidRPr="00E9299D">
        <w:rPr>
          <w:lang w:val="nl-NL"/>
        </w:rPr>
        <w:t>.</w:t>
      </w:r>
    </w:p>
    <w:p w:rsidR="00D5439B" w:rsidRPr="00E9299D" w:rsidRDefault="00D5439B" w:rsidP="008917E5">
      <w:pPr>
        <w:widowControl w:val="0"/>
        <w:spacing w:before="120" w:after="120" w:line="360" w:lineRule="exact"/>
        <w:ind w:firstLine="709"/>
        <w:jc w:val="both"/>
        <w:outlineLvl w:val="0"/>
        <w:rPr>
          <w:b/>
          <w:lang w:val="nl-NL"/>
        </w:rPr>
      </w:pPr>
      <w:r w:rsidRPr="00E9299D">
        <w:rPr>
          <w:b/>
          <w:lang w:val="nl-NL"/>
        </w:rPr>
        <w:t>III. Quá trình xây dựng dự thảo Nghị định</w:t>
      </w:r>
    </w:p>
    <w:p w:rsidR="00D5439B" w:rsidRPr="00E9299D" w:rsidRDefault="00D5439B" w:rsidP="008917E5">
      <w:pPr>
        <w:widowControl w:val="0"/>
        <w:spacing w:before="120" w:after="120" w:line="360" w:lineRule="exact"/>
        <w:ind w:firstLine="709"/>
        <w:jc w:val="both"/>
        <w:outlineLvl w:val="0"/>
        <w:rPr>
          <w:lang w:val="nl-NL"/>
        </w:rPr>
      </w:pPr>
      <w:r w:rsidRPr="00E9299D">
        <w:rPr>
          <w:lang w:val="nl-NL"/>
        </w:rPr>
        <w:t>- Ngày 13/6/201</w:t>
      </w:r>
      <w:r w:rsidR="004E4735" w:rsidRPr="00E9299D">
        <w:rPr>
          <w:lang w:val="nl-NL"/>
        </w:rPr>
        <w:t>9</w:t>
      </w:r>
      <w:r w:rsidRPr="00E9299D">
        <w:rPr>
          <w:lang w:val="nl-NL"/>
        </w:rPr>
        <w:t xml:space="preserve">, Chính phủ có </w:t>
      </w:r>
      <w:r w:rsidR="00BE0D37" w:rsidRPr="00E9299D">
        <w:rPr>
          <w:lang w:val="nl-NL"/>
        </w:rPr>
        <w:t>Nghị quyết</w:t>
      </w:r>
      <w:r w:rsidRPr="00E9299D">
        <w:rPr>
          <w:lang w:val="nl-NL"/>
        </w:rPr>
        <w:t xml:space="preserve"> số </w:t>
      </w:r>
      <w:r w:rsidR="00BE0D37" w:rsidRPr="00E9299D">
        <w:rPr>
          <w:lang w:val="nl-NL"/>
        </w:rPr>
        <w:t>41</w:t>
      </w:r>
      <w:r w:rsidRPr="00E9299D">
        <w:rPr>
          <w:lang w:val="nl-NL"/>
        </w:rPr>
        <w:t>/</w:t>
      </w:r>
      <w:r w:rsidR="00BE0D37" w:rsidRPr="00E9299D">
        <w:rPr>
          <w:lang w:val="nl-NL"/>
        </w:rPr>
        <w:t>NQ-CP</w:t>
      </w:r>
      <w:r w:rsidRPr="00E9299D">
        <w:rPr>
          <w:lang w:val="nl-NL"/>
        </w:rPr>
        <w:t xml:space="preserve"> </w:t>
      </w:r>
      <w:r w:rsidR="00BE0D37" w:rsidRPr="00E9299D">
        <w:rPr>
          <w:lang w:val="nl-NL"/>
        </w:rPr>
        <w:t xml:space="preserve">thông qua đề nghị </w:t>
      </w:r>
      <w:r w:rsidRPr="00E9299D">
        <w:rPr>
          <w:lang w:val="nl-NL"/>
        </w:rPr>
        <w:t xml:space="preserve">của Bộ </w:t>
      </w:r>
      <w:r w:rsidR="00BE0D37" w:rsidRPr="00E9299D">
        <w:rPr>
          <w:lang w:val="nl-NL"/>
        </w:rPr>
        <w:t>T</w:t>
      </w:r>
      <w:r w:rsidRPr="00E9299D">
        <w:rPr>
          <w:lang w:val="nl-NL"/>
        </w:rPr>
        <w:t xml:space="preserve">ài chính tại văn bản số </w:t>
      </w:r>
      <w:r w:rsidR="00BE0D37" w:rsidRPr="00E9299D">
        <w:rPr>
          <w:lang w:val="nl-NL"/>
        </w:rPr>
        <w:t>17</w:t>
      </w:r>
      <w:r w:rsidRPr="00E9299D">
        <w:rPr>
          <w:lang w:val="nl-NL"/>
        </w:rPr>
        <w:t xml:space="preserve">8/TTr-BTC, Bộ Tài chính chủ trì xây dựng Nghị định của Chính phủ quy định về </w:t>
      </w:r>
      <w:r w:rsidR="00BE0D37" w:rsidRPr="00E9299D">
        <w:rPr>
          <w:lang w:val="nl-NL"/>
        </w:rPr>
        <w:t>tổ chức và hoạt động của Quỹ ĐTPTĐP</w:t>
      </w:r>
      <w:r w:rsidRPr="00E9299D">
        <w:rPr>
          <w:lang w:val="nl-NL"/>
        </w:rPr>
        <w:t xml:space="preserve"> (thay thế Nghị định số </w:t>
      </w:r>
      <w:r w:rsidR="00BE0D37" w:rsidRPr="00E9299D">
        <w:rPr>
          <w:lang w:val="nl-NL"/>
        </w:rPr>
        <w:t>138 và Nghị định số 37</w:t>
      </w:r>
      <w:r w:rsidRPr="00E9299D">
        <w:rPr>
          <w:lang w:val="nl-NL"/>
        </w:rPr>
        <w:t xml:space="preserve">) trình Chính phủ xem xét ban hành </w:t>
      </w:r>
      <w:r w:rsidR="00BE0D37" w:rsidRPr="00E9299D">
        <w:rPr>
          <w:lang w:val="nl-NL"/>
        </w:rPr>
        <w:t>trong tháng 03/2020</w:t>
      </w:r>
      <w:r w:rsidRPr="00E9299D">
        <w:rPr>
          <w:lang w:val="nl-NL"/>
        </w:rPr>
        <w:t>.</w:t>
      </w:r>
    </w:p>
    <w:p w:rsidR="00D5439B" w:rsidRPr="00E9299D" w:rsidRDefault="00D5439B" w:rsidP="008917E5">
      <w:pPr>
        <w:widowControl w:val="0"/>
        <w:spacing w:before="120" w:after="120" w:line="360" w:lineRule="exact"/>
        <w:ind w:firstLine="709"/>
        <w:jc w:val="both"/>
        <w:outlineLvl w:val="0"/>
        <w:rPr>
          <w:lang w:val="nl-NL"/>
        </w:rPr>
      </w:pPr>
      <w:r w:rsidRPr="00E9299D">
        <w:rPr>
          <w:lang w:val="nl-NL"/>
        </w:rPr>
        <w:lastRenderedPageBreak/>
        <w:t xml:space="preserve">- Trên cơ sở các đề xuất chính sách tại nêu tại văn bản số </w:t>
      </w:r>
      <w:r w:rsidR="00BE0D37" w:rsidRPr="00E9299D">
        <w:rPr>
          <w:lang w:val="nl-NL"/>
        </w:rPr>
        <w:t>178 /TTr-BTC ngày 21/12/2018</w:t>
      </w:r>
      <w:r w:rsidRPr="00E9299D">
        <w:rPr>
          <w:lang w:val="nl-NL"/>
        </w:rPr>
        <w:t xml:space="preserve"> đã được Chính phủ phê duyệt, Bộ Tài chính dự thảo Nghị định quy định về </w:t>
      </w:r>
      <w:r w:rsidR="00BE0D37" w:rsidRPr="00E9299D">
        <w:rPr>
          <w:lang w:val="nl-NL"/>
        </w:rPr>
        <w:t>tổ chức và hoạt động của Quỹ ĐTPTĐP</w:t>
      </w:r>
      <w:r w:rsidRPr="00E9299D">
        <w:rPr>
          <w:lang w:val="nl-NL"/>
        </w:rPr>
        <w:t xml:space="preserve">, lấy ý kiến các Bộ, ngành và các cơ quan có liên quan đồng thời lấy ý kiến trên cổng thông tin điện tử của Chính phủ. Ngày </w:t>
      </w:r>
      <w:r w:rsidR="00BE0D37" w:rsidRPr="00E9299D">
        <w:rPr>
          <w:lang w:val="nl-NL"/>
        </w:rPr>
        <w:t>...</w:t>
      </w:r>
      <w:r w:rsidRPr="00E9299D">
        <w:rPr>
          <w:lang w:val="nl-NL"/>
        </w:rPr>
        <w:t xml:space="preserve">, Bộ Tư pháp có ý kiến thẩm định tại Báo cáo số </w:t>
      </w:r>
      <w:r w:rsidR="00BE0D37" w:rsidRPr="00E9299D">
        <w:rPr>
          <w:lang w:val="nl-NL"/>
        </w:rPr>
        <w:t>...</w:t>
      </w:r>
      <w:r w:rsidRPr="00E9299D">
        <w:rPr>
          <w:lang w:val="nl-NL"/>
        </w:rPr>
        <w:t xml:space="preserve">/BC-BTP đối với dự thảo Nghị định, trên cơ sở ý kiến thẩm định Bộ Tài chính đã hoàn thiện dự thảo Nghị định để trình Chính phủ ban hành. </w:t>
      </w:r>
    </w:p>
    <w:p w:rsidR="00BE0D37" w:rsidRPr="00E9299D" w:rsidRDefault="00BE0D37" w:rsidP="008917E5">
      <w:pPr>
        <w:widowControl w:val="0"/>
        <w:spacing w:before="120" w:after="120" w:line="360" w:lineRule="exact"/>
        <w:ind w:firstLine="709"/>
        <w:jc w:val="both"/>
        <w:outlineLvl w:val="0"/>
        <w:rPr>
          <w:b/>
          <w:lang w:val="nl-NL"/>
        </w:rPr>
      </w:pPr>
      <w:r w:rsidRPr="00E9299D">
        <w:rPr>
          <w:b/>
          <w:lang w:val="nl-NL"/>
        </w:rPr>
        <w:t>IV. Một số nội dung cơ bản của dự thảo Nghị định</w:t>
      </w:r>
    </w:p>
    <w:p w:rsidR="00BE0D37" w:rsidRPr="00E9299D" w:rsidRDefault="00BE0D37" w:rsidP="008917E5">
      <w:pPr>
        <w:widowControl w:val="0"/>
        <w:spacing w:before="120" w:after="120" w:line="360" w:lineRule="exact"/>
        <w:ind w:firstLine="709"/>
        <w:jc w:val="both"/>
        <w:outlineLvl w:val="0"/>
        <w:rPr>
          <w:lang w:val="nl-NL"/>
        </w:rPr>
      </w:pPr>
      <w:r w:rsidRPr="00E9299D">
        <w:rPr>
          <w:b/>
          <w:lang w:val="nl-NL"/>
        </w:rPr>
        <w:t xml:space="preserve">1. </w:t>
      </w:r>
      <w:r w:rsidR="008C0CA6" w:rsidRPr="00E9299D">
        <w:rPr>
          <w:b/>
          <w:lang w:val="nl-NL"/>
        </w:rPr>
        <w:t>Kết cấu</w:t>
      </w:r>
      <w:r w:rsidRPr="00E9299D">
        <w:rPr>
          <w:b/>
          <w:lang w:val="nl-NL"/>
        </w:rPr>
        <w:t>:</w:t>
      </w:r>
      <w:r w:rsidR="006C6458" w:rsidRPr="00E9299D">
        <w:rPr>
          <w:b/>
          <w:lang w:val="nl-NL"/>
        </w:rPr>
        <w:t xml:space="preserve"> </w:t>
      </w:r>
      <w:r w:rsidR="006C6458" w:rsidRPr="00E9299D">
        <w:rPr>
          <w:lang w:val="nl-NL"/>
        </w:rPr>
        <w:t xml:space="preserve">Dự thảo Nghị định gồm </w:t>
      </w:r>
      <w:r w:rsidR="000B6D94" w:rsidRPr="00E9299D">
        <w:rPr>
          <w:lang w:val="nl-NL"/>
        </w:rPr>
        <w:t>8</w:t>
      </w:r>
      <w:r w:rsidR="006C6458" w:rsidRPr="00E9299D">
        <w:rPr>
          <w:lang w:val="nl-NL"/>
        </w:rPr>
        <w:t xml:space="preserve"> chương và 6</w:t>
      </w:r>
      <w:r w:rsidR="00C93C36">
        <w:rPr>
          <w:lang w:val="nl-NL"/>
        </w:rPr>
        <w:t>5</w:t>
      </w:r>
      <w:r w:rsidR="006C6458" w:rsidRPr="00E9299D">
        <w:rPr>
          <w:lang w:val="nl-NL"/>
        </w:rPr>
        <w:t xml:space="preserve"> điều, trong đó:</w:t>
      </w:r>
    </w:p>
    <w:p w:rsidR="006C6458" w:rsidRPr="00E9299D" w:rsidRDefault="006C6458" w:rsidP="008917E5">
      <w:pPr>
        <w:widowControl w:val="0"/>
        <w:spacing w:before="120" w:after="120" w:line="360" w:lineRule="exact"/>
        <w:ind w:firstLine="709"/>
        <w:jc w:val="both"/>
        <w:outlineLvl w:val="0"/>
        <w:rPr>
          <w:lang w:val="nl-NL"/>
        </w:rPr>
      </w:pPr>
      <w:r w:rsidRPr="00E9299D">
        <w:rPr>
          <w:lang w:val="nl-NL"/>
        </w:rPr>
        <w:t>- Chương I: "Quy định chung" quy định về phạm vi điều chỉnh; địa vị pháp lý, tư cách pháp nhân và nghĩa vụ với ngân sách nhà nước; phạm vi và nguyên tắc hoạt động của Quỹ ĐTPTĐP.</w:t>
      </w:r>
    </w:p>
    <w:p w:rsidR="006C6458" w:rsidRPr="00E9299D" w:rsidRDefault="006C6458" w:rsidP="008917E5">
      <w:pPr>
        <w:widowControl w:val="0"/>
        <w:spacing w:before="120" w:after="120" w:line="360" w:lineRule="exact"/>
        <w:ind w:firstLine="709"/>
        <w:jc w:val="both"/>
        <w:outlineLvl w:val="0"/>
        <w:rPr>
          <w:lang w:val="nl-NL"/>
        </w:rPr>
      </w:pPr>
      <w:r w:rsidRPr="00E9299D">
        <w:rPr>
          <w:lang w:val="nl-NL"/>
        </w:rPr>
        <w:t xml:space="preserve">- Chương II: "Thành lập, cơ cấu tổ chức của Quỹ ĐTPTĐP" quy định về điều kiện thành lập; quy trình thành lập; điều lệ tổ chức và hoạt động; </w:t>
      </w:r>
      <w:r w:rsidR="004E558D" w:rsidRPr="00E9299D">
        <w:rPr>
          <w:lang w:val="nl-NL"/>
        </w:rPr>
        <w:t>trách nhiệm và quyền hạn; cơ cấu tổ chức, bao gồm Hội đồng quản lý, Kiểm soát viên, Giám đốc, Phó Giám đốc, Kế toán trưởng và bộ máy giúp việc của Quỹ.</w:t>
      </w:r>
    </w:p>
    <w:p w:rsidR="004E558D" w:rsidRPr="00E9299D" w:rsidRDefault="004E558D" w:rsidP="008917E5">
      <w:pPr>
        <w:widowControl w:val="0"/>
        <w:spacing w:before="120" w:after="120" w:line="360" w:lineRule="exact"/>
        <w:ind w:firstLine="709"/>
        <w:jc w:val="both"/>
        <w:outlineLvl w:val="0"/>
        <w:rPr>
          <w:lang w:val="nl-NL"/>
        </w:rPr>
      </w:pPr>
      <w:r w:rsidRPr="00E9299D">
        <w:rPr>
          <w:lang w:val="nl-NL"/>
        </w:rPr>
        <w:t>- Chương III: "Hoạt động của Quỹ ĐTPTĐP" quy định về hoạt động đầu tư, cho vay, nhận ủy thác và ủy thác vốn của Quỹ ĐTPTĐP.</w:t>
      </w:r>
    </w:p>
    <w:p w:rsidR="004E558D" w:rsidRPr="00E9299D" w:rsidRDefault="004E558D" w:rsidP="008917E5">
      <w:pPr>
        <w:widowControl w:val="0"/>
        <w:spacing w:before="120" w:after="120" w:line="360" w:lineRule="exact"/>
        <w:ind w:firstLine="709"/>
        <w:jc w:val="both"/>
        <w:outlineLvl w:val="0"/>
        <w:rPr>
          <w:lang w:val="nl-NL"/>
        </w:rPr>
      </w:pPr>
      <w:r w:rsidRPr="00E9299D">
        <w:rPr>
          <w:lang w:val="nl-NL"/>
        </w:rPr>
        <w:t>- Chương IV: "Chế độ tài chính, kế toán, kiểm toán và báo cáo" quy định về vốn chủ sở hữu; vốn nhận ủy thác; nguyên tắc quản lý vốn; chênh lệch thu chi; quyết toán chênh lệch thu chi; quản lý và sử dụng các quỹ; chế độ tài chính, kế toán và kiểm toán; cơ chế tiền lương, phụ cấp, tiền thưởng và xếp hạng doanh nghiệp của Quỹ...</w:t>
      </w:r>
    </w:p>
    <w:p w:rsidR="004E558D" w:rsidRPr="00E9299D" w:rsidRDefault="004E558D" w:rsidP="008917E5">
      <w:pPr>
        <w:widowControl w:val="0"/>
        <w:spacing w:before="120" w:after="120" w:line="360" w:lineRule="exact"/>
        <w:ind w:firstLine="709"/>
        <w:jc w:val="both"/>
        <w:outlineLvl w:val="0"/>
        <w:rPr>
          <w:lang w:val="nl-NL"/>
        </w:rPr>
      </w:pPr>
      <w:r w:rsidRPr="00E9299D">
        <w:rPr>
          <w:lang w:val="nl-NL"/>
        </w:rPr>
        <w:t>- Chương V: "Giám sát và đánh giá hiệu quả hoạt động" quy định về cơ quan giám sát; nội dung giám sát; căn cứ thực hiện và phương thức giám sát; đánh giá hiệu quả hoạt động của Quỹ; thẩm quyền đánh giá, xếp loại người quản lý Quỹ; căn cứ, nội dung, quy trình và phương pháp đánh giá, xếp loại người quản lý Quỹ...</w:t>
      </w:r>
    </w:p>
    <w:p w:rsidR="004E558D" w:rsidRPr="00E9299D" w:rsidRDefault="004E558D" w:rsidP="008917E5">
      <w:pPr>
        <w:widowControl w:val="0"/>
        <w:spacing w:before="120" w:after="120" w:line="360" w:lineRule="exact"/>
        <w:ind w:firstLine="709"/>
        <w:jc w:val="both"/>
        <w:outlineLvl w:val="0"/>
        <w:rPr>
          <w:lang w:val="nl-NL"/>
        </w:rPr>
      </w:pPr>
      <w:r w:rsidRPr="00E9299D">
        <w:rPr>
          <w:lang w:val="nl-NL"/>
        </w:rPr>
        <w:t xml:space="preserve">- Chương VI: "Cơ cấu lại, giải thể Quỹ ĐTPTĐP" quy định về cơ cấu lại và giải thể Quỹ; các trường hợp </w:t>
      </w:r>
      <w:r w:rsidR="003B05AE" w:rsidRPr="00E9299D">
        <w:rPr>
          <w:lang w:val="nl-NL"/>
        </w:rPr>
        <w:t>buộc phải giải thể; Hội đồng giải thể; quy trình giải thể; quyết định giải thể; trách nhiệm của Quỹ và Hội đồng giải thể sau khi có quyết định giải thể.</w:t>
      </w:r>
    </w:p>
    <w:p w:rsidR="002E0389" w:rsidRPr="00E9299D" w:rsidRDefault="003B05AE" w:rsidP="008917E5">
      <w:pPr>
        <w:widowControl w:val="0"/>
        <w:spacing w:before="120" w:after="120" w:line="360" w:lineRule="exact"/>
        <w:ind w:firstLine="709"/>
        <w:jc w:val="both"/>
        <w:outlineLvl w:val="0"/>
        <w:rPr>
          <w:lang w:val="nl-NL"/>
        </w:rPr>
      </w:pPr>
      <w:r w:rsidRPr="00E9299D">
        <w:rPr>
          <w:lang w:val="nl-NL"/>
        </w:rPr>
        <w:t xml:space="preserve">- Chương VII: </w:t>
      </w:r>
      <w:r w:rsidR="002E0389" w:rsidRPr="00E9299D">
        <w:rPr>
          <w:lang w:val="nl-NL"/>
        </w:rPr>
        <w:t>"Tổ chức thực hiện" quy định về trách nhiệm của Hội đồng nhân dân, Ủy ban nhân dân, Bộ Tài chính, Ngân hàng Nhà nước Việt Nam, Bộ Lao động - Thương binh và Xã hội.</w:t>
      </w:r>
    </w:p>
    <w:p w:rsidR="002E0389" w:rsidRPr="00E9299D" w:rsidRDefault="002E0389" w:rsidP="008917E5">
      <w:pPr>
        <w:widowControl w:val="0"/>
        <w:spacing w:before="120" w:after="120" w:line="360" w:lineRule="exact"/>
        <w:ind w:firstLine="709"/>
        <w:jc w:val="both"/>
        <w:outlineLvl w:val="0"/>
        <w:rPr>
          <w:lang w:val="nl-NL"/>
        </w:rPr>
      </w:pPr>
      <w:r w:rsidRPr="00E9299D">
        <w:rPr>
          <w:lang w:val="nl-NL"/>
        </w:rPr>
        <w:t xml:space="preserve">- Chương </w:t>
      </w:r>
      <w:r w:rsidR="000B6D94" w:rsidRPr="00E9299D">
        <w:rPr>
          <w:lang w:val="nl-NL"/>
        </w:rPr>
        <w:t>VIII</w:t>
      </w:r>
      <w:r w:rsidRPr="00E9299D">
        <w:rPr>
          <w:lang w:val="nl-NL"/>
        </w:rPr>
        <w:t>: "Điều khoản thi hành" quy định về điều khoản chuyển tiếp, tổ chức thực hiện, hiệu lực và trách nhiệm thi hành Nghị định.</w:t>
      </w:r>
    </w:p>
    <w:p w:rsidR="00EF1A05" w:rsidRPr="00E9299D" w:rsidRDefault="00BE0D37" w:rsidP="008917E5">
      <w:pPr>
        <w:widowControl w:val="0"/>
        <w:spacing w:before="120" w:after="120" w:line="360" w:lineRule="exact"/>
        <w:ind w:firstLine="709"/>
        <w:jc w:val="both"/>
        <w:outlineLvl w:val="0"/>
        <w:rPr>
          <w:b/>
          <w:lang w:val="nl-NL"/>
        </w:rPr>
      </w:pPr>
      <w:r w:rsidRPr="00E9299D">
        <w:rPr>
          <w:b/>
          <w:lang w:val="nl-NL"/>
        </w:rPr>
        <w:lastRenderedPageBreak/>
        <w:t>2. Nội dung cơ bản của dự thảo Nghị định</w:t>
      </w:r>
      <w:r w:rsidR="00B0472B" w:rsidRPr="00E9299D">
        <w:rPr>
          <w:b/>
          <w:lang w:val="nl-NL"/>
        </w:rPr>
        <w:t xml:space="preserve">: </w:t>
      </w:r>
    </w:p>
    <w:p w:rsidR="00EF1A05" w:rsidRPr="00E9299D" w:rsidRDefault="00EF1A05" w:rsidP="00EF1A05">
      <w:pPr>
        <w:widowControl w:val="0"/>
        <w:spacing w:before="120" w:after="120" w:line="360" w:lineRule="exact"/>
        <w:ind w:firstLine="706"/>
        <w:jc w:val="both"/>
        <w:rPr>
          <w:lang w:val="nl-NL"/>
        </w:rPr>
      </w:pPr>
      <w:r w:rsidRPr="00E9299D">
        <w:rPr>
          <w:lang w:val="nl-NL"/>
        </w:rPr>
        <w:t>- Tại Nghị quyết số 41/NQ-CP ngày 14/6/2019, Chính phủ đã thông qua 4 nhóm chính sách đề xuất sửa đổi tại Nghị định, bao gồm: (i) nhóm chính sách về hoàn thiện mô hình tổ chức hoạt động của Quỹ ĐTPTĐP; (ii) nhóm chính sách về tăng quy mô và hiệu quả hoạt động của Quỹ ; (iii) nhóm chính sách về nâng cao hiệu quả hoạt động của Quỹ; và (iv) nhóm chính sách về hoàn thiện cơ chế quản lý, giám sát.</w:t>
      </w:r>
    </w:p>
    <w:p w:rsidR="00B0472B" w:rsidRPr="00E9299D" w:rsidRDefault="00EF1A05" w:rsidP="00EF1A05">
      <w:pPr>
        <w:widowControl w:val="0"/>
        <w:spacing w:before="120" w:after="120" w:line="360" w:lineRule="exact"/>
        <w:ind w:firstLine="709"/>
        <w:jc w:val="both"/>
        <w:outlineLvl w:val="0"/>
        <w:rPr>
          <w:lang w:val="nl-NL"/>
        </w:rPr>
      </w:pPr>
      <w:r w:rsidRPr="00E9299D">
        <w:rPr>
          <w:lang w:val="nl-NL"/>
        </w:rPr>
        <w:t xml:space="preserve">- </w:t>
      </w:r>
      <w:r w:rsidR="00200427">
        <w:rPr>
          <w:lang w:val="nl-NL"/>
        </w:rPr>
        <w:t>Căn cứ Nghị quyết số 41/NQ-CP</w:t>
      </w:r>
      <w:r w:rsidRPr="00E9299D">
        <w:rPr>
          <w:lang w:val="nl-NL"/>
        </w:rPr>
        <w:t>, d</w:t>
      </w:r>
      <w:r w:rsidR="00B0472B" w:rsidRPr="00E9299D">
        <w:rPr>
          <w:lang w:val="nl-NL"/>
        </w:rPr>
        <w:t xml:space="preserve">ự thảo Nghị định quy định cụ thể </w:t>
      </w:r>
      <w:r w:rsidRPr="00E9299D">
        <w:rPr>
          <w:lang w:val="nl-NL"/>
        </w:rPr>
        <w:t>4 nhóm</w:t>
      </w:r>
      <w:r w:rsidR="00B0472B" w:rsidRPr="00E9299D">
        <w:rPr>
          <w:lang w:val="nl-NL"/>
        </w:rPr>
        <w:t xml:space="preserve"> chính sách</w:t>
      </w:r>
      <w:r w:rsidR="00200427">
        <w:rPr>
          <w:lang w:val="nl-NL"/>
        </w:rPr>
        <w:t>, trong đó</w:t>
      </w:r>
      <w:r w:rsidR="00B0472B" w:rsidRPr="00E9299D">
        <w:rPr>
          <w:lang w:val="nl-NL"/>
        </w:rPr>
        <w:t xml:space="preserve"> một số nội dung cơ bản </w:t>
      </w:r>
      <w:r w:rsidR="00200427">
        <w:rPr>
          <w:lang w:val="nl-NL"/>
        </w:rPr>
        <w:t>gồm</w:t>
      </w:r>
      <w:r w:rsidR="00B0472B" w:rsidRPr="00E9299D">
        <w:rPr>
          <w:lang w:val="nl-NL"/>
        </w:rPr>
        <w:t>:</w:t>
      </w:r>
    </w:p>
    <w:p w:rsidR="000E4143" w:rsidRPr="00E9299D" w:rsidRDefault="00B0472B" w:rsidP="008917E5">
      <w:pPr>
        <w:widowControl w:val="0"/>
        <w:spacing w:before="120" w:after="120" w:line="360" w:lineRule="exact"/>
        <w:ind w:firstLine="709"/>
        <w:jc w:val="both"/>
        <w:outlineLvl w:val="0"/>
        <w:rPr>
          <w:b/>
          <w:i/>
          <w:lang w:val="nl-NL"/>
        </w:rPr>
      </w:pPr>
      <w:r w:rsidRPr="00E9299D">
        <w:rPr>
          <w:b/>
          <w:i/>
          <w:lang w:val="nl-NL"/>
        </w:rPr>
        <w:t>2.1.</w:t>
      </w:r>
      <w:r w:rsidR="000E4143" w:rsidRPr="00E9299D">
        <w:rPr>
          <w:b/>
          <w:i/>
          <w:lang w:val="nl-NL"/>
        </w:rPr>
        <w:t xml:space="preserve"> Nhóm chính sách về hoàn thiện mô hình tổ chức hoạt động của Quỹ ĐTPTĐP</w:t>
      </w:r>
    </w:p>
    <w:p w:rsidR="00BE0D37" w:rsidRPr="00E9299D" w:rsidRDefault="000E4143" w:rsidP="008917E5">
      <w:pPr>
        <w:widowControl w:val="0"/>
        <w:spacing w:before="120" w:after="120" w:line="360" w:lineRule="exact"/>
        <w:ind w:firstLine="709"/>
        <w:jc w:val="both"/>
        <w:outlineLvl w:val="0"/>
        <w:rPr>
          <w:b/>
          <w:lang w:val="nl-NL"/>
        </w:rPr>
      </w:pPr>
      <w:r w:rsidRPr="00E9299D">
        <w:rPr>
          <w:b/>
          <w:i/>
          <w:lang w:val="nl-NL"/>
        </w:rPr>
        <w:t>2.1.1.</w:t>
      </w:r>
      <w:r w:rsidR="00B0472B" w:rsidRPr="00E9299D">
        <w:rPr>
          <w:b/>
          <w:i/>
          <w:lang w:val="nl-NL"/>
        </w:rPr>
        <w:t xml:space="preserve"> Về mô hình tổ chức của Quỹ ĐTPTĐP</w:t>
      </w:r>
      <w:r w:rsidR="00BE0D37" w:rsidRPr="00E9299D">
        <w:rPr>
          <w:b/>
          <w:lang w:val="nl-NL"/>
        </w:rPr>
        <w:t xml:space="preserve"> </w:t>
      </w:r>
    </w:p>
    <w:p w:rsidR="002E0389" w:rsidRPr="00E9299D" w:rsidRDefault="00FF4307" w:rsidP="00FF4307">
      <w:pPr>
        <w:widowControl w:val="0"/>
        <w:spacing w:before="120" w:after="120" w:line="360" w:lineRule="exact"/>
        <w:ind w:firstLine="709"/>
        <w:jc w:val="both"/>
        <w:outlineLvl w:val="0"/>
        <w:rPr>
          <w:lang w:val="nl-NL"/>
        </w:rPr>
      </w:pPr>
      <w:r>
        <w:rPr>
          <w:lang w:val="nl-NL"/>
        </w:rPr>
        <w:t xml:space="preserve">Dự thảo Nghị định quy định mô hình của Quỹ như quy định hiện hành </w:t>
      </w:r>
      <w:r w:rsidR="005C6171">
        <w:rPr>
          <w:lang w:val="nl-NL"/>
        </w:rPr>
        <w:t xml:space="preserve">tại Nghị định số 138 và Nghị định số 37, đồng thời </w:t>
      </w:r>
      <w:r w:rsidR="00234369" w:rsidRPr="00E9299D">
        <w:rPr>
          <w:lang w:val="nl-NL"/>
        </w:rPr>
        <w:t xml:space="preserve">rà soát, bổ sung các quy định về quản lý, giám sát, đánh giá hiệu quả hoạt động để </w:t>
      </w:r>
      <w:r>
        <w:rPr>
          <w:lang w:val="nl-NL"/>
        </w:rPr>
        <w:t>phù hợp với đặc thù của Quỹ ĐTPTĐP và áp dụng</w:t>
      </w:r>
      <w:r w:rsidR="00234369" w:rsidRPr="00E9299D">
        <w:rPr>
          <w:lang w:val="nl-NL"/>
        </w:rPr>
        <w:t xml:space="preserve"> cách thức quản lý, giám sát doanh nghiệp nhà nước.</w:t>
      </w:r>
    </w:p>
    <w:p w:rsidR="000E4143" w:rsidRPr="00E9299D" w:rsidRDefault="000E4143" w:rsidP="000E4143">
      <w:pPr>
        <w:widowControl w:val="0"/>
        <w:spacing w:before="120" w:after="120" w:line="360" w:lineRule="exact"/>
        <w:ind w:firstLine="709"/>
        <w:jc w:val="both"/>
        <w:outlineLvl w:val="0"/>
        <w:rPr>
          <w:b/>
          <w:i/>
          <w:lang w:val="nl-NL"/>
        </w:rPr>
      </w:pPr>
      <w:r w:rsidRPr="00E9299D">
        <w:rPr>
          <w:b/>
          <w:i/>
          <w:lang w:val="nl-NL"/>
        </w:rPr>
        <w:t>2.1.2. Về cơ chế tiền lương, tiền thưởng và phân phối chênh lệch thu chi của Quỹ ĐTPTĐP</w:t>
      </w:r>
    </w:p>
    <w:p w:rsidR="000E4143" w:rsidRPr="00E9299D" w:rsidRDefault="000E4143" w:rsidP="000E4143">
      <w:pPr>
        <w:widowControl w:val="0"/>
        <w:spacing w:before="120" w:after="120" w:line="360" w:lineRule="exact"/>
        <w:ind w:firstLine="706"/>
        <w:jc w:val="both"/>
        <w:rPr>
          <w:lang w:val="nl-NL"/>
        </w:rPr>
      </w:pPr>
      <w:r w:rsidRPr="00E9299D">
        <w:rPr>
          <w:lang w:val="nl-NL"/>
        </w:rPr>
        <w:t>- Về cơ chế tiền lương, tiền thưởng</w:t>
      </w:r>
      <w:r w:rsidR="005C6171">
        <w:rPr>
          <w:lang w:val="nl-NL"/>
        </w:rPr>
        <w:t>, t</w:t>
      </w:r>
      <w:r w:rsidRPr="00E9299D">
        <w:rPr>
          <w:lang w:val="nl-NL"/>
        </w:rPr>
        <w:t xml:space="preserve">rên cơ sở rà soát quy định về cơ chế tiền lương, tiền thưởng áp dụng đối với doanh nghiệp Nhà nước đã được ban hành mới ở cấp Luật và Nghị định, dự thảo Nghị định quy định (Điều </w:t>
      </w:r>
      <w:r w:rsidR="00547879">
        <w:rPr>
          <w:lang w:val="nl-NL"/>
        </w:rPr>
        <w:t>4</w:t>
      </w:r>
      <w:r w:rsidR="00C93C36">
        <w:rPr>
          <w:lang w:val="nl-NL"/>
        </w:rPr>
        <w:t>5</w:t>
      </w:r>
      <w:r w:rsidR="00547879">
        <w:rPr>
          <w:lang w:val="nl-NL"/>
        </w:rPr>
        <w:t xml:space="preserve"> và Điều 6</w:t>
      </w:r>
      <w:r w:rsidR="00C93C36">
        <w:rPr>
          <w:lang w:val="nl-NL"/>
        </w:rPr>
        <w:t>4</w:t>
      </w:r>
      <w:r w:rsidRPr="00E9299D">
        <w:rPr>
          <w:lang w:val="nl-NL"/>
        </w:rPr>
        <w:t>) đã bổ sung trách nhiệm hướng dẫn của Bộ LĐTBXH. Theo đó, cơ chế tiền lương, phụ cấp của người quản lý, người lao động Quỹ ĐTPTĐP thực hiện theo quy định áp dụng cho công ty TNHH MTV do NN sở hữu 100% vốn và hướng dẫn của Bộ LĐTBXH; việc xếp hạng Quỹ ĐTPTĐP thực hiện theo hướng dẫn của Bộ LĐTBXH.</w:t>
      </w:r>
    </w:p>
    <w:p w:rsidR="000E4143" w:rsidRPr="00E9299D" w:rsidRDefault="000E4143" w:rsidP="000E4143">
      <w:pPr>
        <w:widowControl w:val="0"/>
        <w:spacing w:before="120" w:after="120" w:line="360" w:lineRule="exact"/>
        <w:ind w:firstLine="709"/>
        <w:jc w:val="both"/>
        <w:outlineLvl w:val="0"/>
        <w:rPr>
          <w:b/>
          <w:i/>
          <w:lang w:val="nl-NL"/>
        </w:rPr>
      </w:pPr>
      <w:r w:rsidRPr="00E9299D">
        <w:rPr>
          <w:lang w:val="nl-NL"/>
        </w:rPr>
        <w:t>- Về phân phối chênh lệch thu chi, do Quỹ ĐTPTĐP hoạt động không vì mục tiêu lợi nhuận nên khác với doanh nghiệp nhà nước, sau khi phân phối và trích lập các quỹ, phần chênh lệch thu chi còn lại được bổ sung vào quỹ đầu tư phát triển để bổ sung vốn điều lệ cho Quỹ thực hiện các mục tiêu phát triển kinh tế - xã hội tại địa phương. UBND cấp tỉnh có thẩm quyền quyết định cấp bổ sung vốn điều lệ cho Quỹ từ nguồn quỹ đầu tư phát triển. Quy định này là tương đồng với quy định về phân phối chênh lệch thu chi và trích lập các quỹ của các quỹ tài chính nhà nước ngoài ngân sách khác như Quỹ bảo lãnh tín dụng doanh nghiệp nhỏ và vừa, Quỹ bảo vệ môi trường...</w:t>
      </w:r>
    </w:p>
    <w:p w:rsidR="000E4143" w:rsidRPr="00E9299D" w:rsidRDefault="000E4143" w:rsidP="008917E5">
      <w:pPr>
        <w:widowControl w:val="0"/>
        <w:spacing w:before="120" w:after="120" w:line="360" w:lineRule="exact"/>
        <w:ind w:firstLine="709"/>
        <w:jc w:val="both"/>
        <w:outlineLvl w:val="0"/>
        <w:rPr>
          <w:b/>
          <w:i/>
          <w:lang w:val="nl-NL"/>
        </w:rPr>
      </w:pPr>
      <w:r w:rsidRPr="00E9299D">
        <w:rPr>
          <w:b/>
          <w:i/>
          <w:lang w:val="nl-NL"/>
        </w:rPr>
        <w:t>2.2. Nhóm chính sách về tăng quy mô và hiệu quả hoạt động của Quỹ</w:t>
      </w:r>
    </w:p>
    <w:p w:rsidR="00EC1ABD" w:rsidRPr="00E9299D" w:rsidRDefault="00EC1ABD" w:rsidP="008917E5">
      <w:pPr>
        <w:widowControl w:val="0"/>
        <w:spacing w:before="120" w:after="120" w:line="360" w:lineRule="exact"/>
        <w:ind w:firstLine="697"/>
        <w:jc w:val="both"/>
        <w:outlineLvl w:val="0"/>
        <w:rPr>
          <w:b/>
          <w:i/>
          <w:lang w:val="pt-BR"/>
        </w:rPr>
      </w:pPr>
      <w:r w:rsidRPr="00E9299D">
        <w:rPr>
          <w:b/>
          <w:i/>
          <w:lang w:val="pt-BR"/>
        </w:rPr>
        <w:t>2.2.</w:t>
      </w:r>
      <w:r w:rsidR="000E4143" w:rsidRPr="00E9299D">
        <w:rPr>
          <w:b/>
          <w:i/>
          <w:lang w:val="pt-BR"/>
        </w:rPr>
        <w:t xml:space="preserve">1. </w:t>
      </w:r>
      <w:r w:rsidRPr="00E9299D">
        <w:rPr>
          <w:b/>
          <w:i/>
          <w:lang w:val="pt-BR"/>
        </w:rPr>
        <w:t>Về điều kiện và quy trình thành lập Quỹ ĐTPTĐP</w:t>
      </w:r>
    </w:p>
    <w:p w:rsidR="00234369" w:rsidRPr="00E9299D" w:rsidRDefault="00234369" w:rsidP="008917E5">
      <w:pPr>
        <w:widowControl w:val="0"/>
        <w:tabs>
          <w:tab w:val="left" w:pos="-4678"/>
        </w:tabs>
        <w:spacing w:before="120" w:after="120" w:line="360" w:lineRule="exact"/>
        <w:ind w:firstLine="709"/>
        <w:jc w:val="both"/>
        <w:rPr>
          <w:lang w:val="pt-BR"/>
        </w:rPr>
      </w:pPr>
      <w:r w:rsidRPr="00E9299D">
        <w:rPr>
          <w:lang w:val="pt-BR"/>
        </w:rPr>
        <w:lastRenderedPageBreak/>
        <w:t>- Nghị định số 138 và Nghị định số 37 quy định một trong các điều kiện để Quỹ ĐTPTĐP được thành lập phải có vốn điều lệ tối thiểu là 100 tỷ đồng. Tuy nhiên, các Nghị định này chưa có quy định về việc đánh giá sự cần thiết, khả năng huy động vốn, khả năng cho vay, đầu tư của Quỹ ĐTPTĐP tại thời điểm thành lập Quỹ. Bên cạnh đó, trong bối cảnh nguồn vốn huy động còn hạn chế, mức vốn điều lệ tối thiểu của các Quỹ chỉ là 100 tỷ đồng nên không bảo đảm cho Quỹ có thể quay vòng nguồn vốn để thực hiện nhiều dự án thuộc lĩnh vực đầu tư kết cấu hạ tầng</w:t>
      </w:r>
      <w:r w:rsidR="005C6171">
        <w:rPr>
          <w:lang w:val="pt-BR"/>
        </w:rPr>
        <w:t xml:space="preserve">, </w:t>
      </w:r>
      <w:r w:rsidR="00FF4307">
        <w:rPr>
          <w:lang w:val="pt-BR"/>
        </w:rPr>
        <w:t xml:space="preserve">chưa </w:t>
      </w:r>
      <w:r w:rsidR="005C6171">
        <w:rPr>
          <w:lang w:val="pt-BR"/>
        </w:rPr>
        <w:t>thúc đẩy việc</w:t>
      </w:r>
      <w:r w:rsidR="00FF4307">
        <w:rPr>
          <w:lang w:val="pt-BR"/>
        </w:rPr>
        <w:t xml:space="preserve"> huy động </w:t>
      </w:r>
      <w:r w:rsidR="005C6171">
        <w:rPr>
          <w:lang w:val="pt-BR"/>
        </w:rPr>
        <w:t xml:space="preserve">thêm </w:t>
      </w:r>
      <w:r w:rsidR="00FF4307">
        <w:rPr>
          <w:lang w:val="pt-BR"/>
        </w:rPr>
        <w:t>các nguồn lực khác trên địa bàn</w:t>
      </w:r>
      <w:r w:rsidR="005C6171">
        <w:rPr>
          <w:lang w:val="pt-BR"/>
        </w:rPr>
        <w:t xml:space="preserve"> cho phát triển kinh tế xã hội tại địa phương</w:t>
      </w:r>
      <w:r w:rsidRPr="00E9299D">
        <w:rPr>
          <w:lang w:val="pt-BR"/>
        </w:rPr>
        <w:t xml:space="preserve">. </w:t>
      </w:r>
    </w:p>
    <w:p w:rsidR="00EC1ABD" w:rsidRPr="00E9299D" w:rsidRDefault="00234369" w:rsidP="008917E5">
      <w:pPr>
        <w:widowControl w:val="0"/>
        <w:tabs>
          <w:tab w:val="left" w:pos="-4678"/>
        </w:tabs>
        <w:spacing w:before="120" w:after="120" w:line="360" w:lineRule="exact"/>
        <w:ind w:firstLine="709"/>
        <w:jc w:val="both"/>
        <w:rPr>
          <w:lang w:val="pt-BR"/>
        </w:rPr>
      </w:pPr>
      <w:r w:rsidRPr="00E9299D">
        <w:rPr>
          <w:lang w:val="pt-BR"/>
        </w:rPr>
        <w:t xml:space="preserve">- </w:t>
      </w:r>
      <w:r w:rsidR="005C6171">
        <w:rPr>
          <w:lang w:val="pt-BR"/>
        </w:rPr>
        <w:t>Đ</w:t>
      </w:r>
      <w:r w:rsidR="00E93EAB" w:rsidRPr="00E9299D">
        <w:rPr>
          <w:lang w:val="nl-NL"/>
        </w:rPr>
        <w:t>ể đảm bảo Quỹ ĐTPTĐP khi thành lập có nguồn vốn triển khai các hoạt động theo đúng chức năng, nhiệm vụ</w:t>
      </w:r>
      <w:r w:rsidR="005C6171">
        <w:rPr>
          <w:lang w:val="nl-NL"/>
        </w:rPr>
        <w:t>,</w:t>
      </w:r>
      <w:r w:rsidR="00E93EAB" w:rsidRPr="00E9299D">
        <w:rPr>
          <w:lang w:val="nl-NL"/>
        </w:rPr>
        <w:t xml:space="preserve"> đóng góp có hiệu quả vào đầu tư phát triển kinh tế xã hội tại địa phương, dự thảo Nghị định quy định cụ thể về </w:t>
      </w:r>
      <w:r w:rsidR="00EC1ABD" w:rsidRPr="00E9299D">
        <w:rPr>
          <w:lang w:val="pt-BR"/>
        </w:rPr>
        <w:t>điều kiện và quy trình thành lập Quỹ ĐTPTĐP (Điều 6 và Điều 7)</w:t>
      </w:r>
      <w:r w:rsidR="00E93EAB" w:rsidRPr="00E9299D">
        <w:rPr>
          <w:lang w:val="pt-BR"/>
        </w:rPr>
        <w:t xml:space="preserve">, bao gồm: (i) địa phương có nhu cầu và đảm bảo Quỹ hoạt động hiệu quả, đóng góp vào phát triển kinh tế - xã hội tại địa phương; (ii) nguồn cấp vốn điều lệ của Quỹ đã được bố trí trong kế hoạch đầu tư công trung hạn của địa phương tối thiểu là 300 tỷ đồng; (iii) có Đề án thành lập Quỹ do UBND cấp tỉnh trình HĐND cấp tỉnh thông qua; (iv) có dự thảo Điều lệ tổ chức và hoạt động của Quỹ. </w:t>
      </w:r>
      <w:r w:rsidRPr="00E9299D">
        <w:rPr>
          <w:lang w:val="pt-BR"/>
        </w:rPr>
        <w:t>Đồng thời, dự</w:t>
      </w:r>
      <w:r w:rsidR="00E93EAB" w:rsidRPr="00E9299D">
        <w:rPr>
          <w:lang w:val="pt-BR"/>
        </w:rPr>
        <w:t xml:space="preserve"> thảo Nghị định quy định các nội dung cơ bản của Đề án thành lập Quỹ, bao gồm phương án huy động, sử dụng vốn và</w:t>
      </w:r>
      <w:r w:rsidR="00EC1ABD" w:rsidRPr="00E9299D">
        <w:rPr>
          <w:lang w:val="pt-BR"/>
        </w:rPr>
        <w:t xml:space="preserve"> danh mục các dự án dự kiến cho vay, đầu tư trong thời gian 3 năm từ thời điểm dự kiến thành lập Quỹ.</w:t>
      </w:r>
    </w:p>
    <w:p w:rsidR="000E4143" w:rsidRPr="00E9299D" w:rsidRDefault="000E4143" w:rsidP="000E4143">
      <w:pPr>
        <w:widowControl w:val="0"/>
        <w:spacing w:before="120" w:after="120" w:line="360" w:lineRule="exact"/>
        <w:ind w:firstLine="709"/>
        <w:jc w:val="both"/>
        <w:rPr>
          <w:b/>
          <w:i/>
          <w:lang w:val="nl-NL"/>
        </w:rPr>
      </w:pPr>
      <w:r w:rsidRPr="00E9299D">
        <w:rPr>
          <w:b/>
          <w:i/>
          <w:lang w:val="pt-BR"/>
        </w:rPr>
        <w:t>2.2.2. Về cơ cấu lại, giải thể Quỹ ĐTPTĐP</w:t>
      </w:r>
    </w:p>
    <w:p w:rsidR="000E4143" w:rsidRPr="00E9299D" w:rsidRDefault="00BC5D65" w:rsidP="000E4143">
      <w:pPr>
        <w:widowControl w:val="0"/>
        <w:spacing w:before="120" w:after="120" w:line="360" w:lineRule="exact"/>
        <w:ind w:firstLine="697"/>
        <w:jc w:val="both"/>
        <w:outlineLvl w:val="0"/>
        <w:rPr>
          <w:lang w:val="pt-BR"/>
        </w:rPr>
      </w:pPr>
      <w:r w:rsidRPr="00E9299D">
        <w:rPr>
          <w:lang w:val="pt-BR"/>
        </w:rPr>
        <w:t>Để nâng cao hiệu quả thành lập và hoạt động Quỹ ĐTPTĐP, trên cơ sở quy định của pháp luật đối</w:t>
      </w:r>
      <w:r w:rsidR="000E4143" w:rsidRPr="00E9299D">
        <w:rPr>
          <w:lang w:val="pt-BR"/>
        </w:rPr>
        <w:t xml:space="preserve"> với doanh nghiệp nhà nước, dự thảo Nghị định quy định về trách nhiệm của UBND cấp tỉnh trong việc đánh giá hiệu quả hoạt động, quản lý giám sát để kịp thời phát hiện các rủi ro và có giải pháp cơ cấu lại hoạt động của Quỹ ĐTPTĐP (Điều 4</w:t>
      </w:r>
      <w:r w:rsidR="00C93C36">
        <w:rPr>
          <w:lang w:val="pt-BR"/>
        </w:rPr>
        <w:t>7</w:t>
      </w:r>
      <w:r w:rsidR="000E4143" w:rsidRPr="00E9299D">
        <w:rPr>
          <w:lang w:val="pt-BR"/>
        </w:rPr>
        <w:t xml:space="preserve"> đến Điều </w:t>
      </w:r>
      <w:r w:rsidR="00547879">
        <w:rPr>
          <w:lang w:val="pt-BR"/>
        </w:rPr>
        <w:t>5</w:t>
      </w:r>
      <w:r w:rsidR="00C93C36">
        <w:rPr>
          <w:lang w:val="pt-BR"/>
        </w:rPr>
        <w:t>0</w:t>
      </w:r>
      <w:r w:rsidR="000E4143" w:rsidRPr="00E9299D">
        <w:rPr>
          <w:lang w:val="pt-BR"/>
        </w:rPr>
        <w:t xml:space="preserve">). Theo đó, căn cứ vào xếp loại Quỹ ĐTPTĐP, UBND cấp tỉnh quyết định cơ cấu lại bộ máy tổ chức, điều hành và hoạt động đối với Quỹ xếp loại hoạt động không hiệu quả. Bên cạnh đó, </w:t>
      </w:r>
      <w:r w:rsidR="005C6171">
        <w:rPr>
          <w:lang w:val="pt-BR"/>
        </w:rPr>
        <w:t xml:space="preserve">dự thảo Nghị định quy định theo hướng </w:t>
      </w:r>
      <w:r w:rsidR="000E4143" w:rsidRPr="00E9299D">
        <w:rPr>
          <w:lang w:val="pt-BR"/>
        </w:rPr>
        <w:t xml:space="preserve">Quỹ ĐTPTĐP buộc phải giải thể khi thuộc các trường hợp </w:t>
      </w:r>
      <w:r w:rsidR="005C6171">
        <w:rPr>
          <w:lang w:val="nl-NL"/>
        </w:rPr>
        <w:t>sau</w:t>
      </w:r>
      <w:r w:rsidR="00711282">
        <w:rPr>
          <w:lang w:val="nl-NL"/>
        </w:rPr>
        <w:t>: (i) m</w:t>
      </w:r>
      <w:r w:rsidR="00711282" w:rsidRPr="002E605B">
        <w:rPr>
          <w:color w:val="000000"/>
          <w:lang w:val="vi-VN"/>
        </w:rPr>
        <w:t xml:space="preserve">ức vốn </w:t>
      </w:r>
      <w:r w:rsidR="00711282" w:rsidRPr="00F46852">
        <w:rPr>
          <w:color w:val="000000"/>
          <w:lang w:val="vi-VN"/>
        </w:rPr>
        <w:t>thực góp của chủ sở hữu</w:t>
      </w:r>
      <w:r w:rsidR="00711282" w:rsidRPr="002E605B">
        <w:rPr>
          <w:color w:val="000000"/>
          <w:lang w:val="vi-VN"/>
        </w:rPr>
        <w:t xml:space="preserve"> không đáp ứng quy định về vốn điều lệ tối thiểu</w:t>
      </w:r>
      <w:r w:rsidR="00711282" w:rsidRPr="00B36A5E">
        <w:rPr>
          <w:color w:val="000000"/>
          <w:lang w:val="nl-NL"/>
        </w:rPr>
        <w:t xml:space="preserve"> theo quy định; (ii) t</w:t>
      </w:r>
      <w:r w:rsidR="00711282" w:rsidRPr="002E605B">
        <w:rPr>
          <w:color w:val="000000"/>
          <w:lang w:val="vi-VN"/>
        </w:rPr>
        <w:t>ỷ lệ tổng số vốn cho vay và đầu tư (không bao gồm các khoản ủy thác cho vay) trên vốn chủ sở hữu thấp hơn 20% trong ba (03) năm liên tiế</w:t>
      </w:r>
      <w:r w:rsidR="00711282" w:rsidRPr="00711282">
        <w:rPr>
          <w:color w:val="000000"/>
          <w:lang w:val="pt-BR"/>
        </w:rPr>
        <w:t>p</w:t>
      </w:r>
      <w:r w:rsidR="00711282" w:rsidRPr="00B36A5E">
        <w:rPr>
          <w:color w:val="000000"/>
          <w:lang w:val="nl-NL"/>
        </w:rPr>
        <w:t>; (iii) t</w:t>
      </w:r>
      <w:r w:rsidR="00711282" w:rsidRPr="002E605B">
        <w:rPr>
          <w:color w:val="000000"/>
          <w:lang w:val="vi-VN"/>
        </w:rPr>
        <w:t>ỷ lệ nợ xấu trên tổng dư nợ cho vay cao hơn 50% hoặc tỷ lệ các khoản nợ phải thu khó đòi trên tổng số vốn đầu tư cao hơn 80% trong ba (03) năm liên tiế</w:t>
      </w:r>
      <w:r w:rsidR="00711282" w:rsidRPr="00711282">
        <w:rPr>
          <w:color w:val="000000"/>
          <w:lang w:val="pt-BR"/>
        </w:rPr>
        <w:t>p</w:t>
      </w:r>
      <w:r w:rsidR="00711282" w:rsidRPr="00386E3F">
        <w:rPr>
          <w:color w:val="000000"/>
          <w:lang w:val="nl-NL"/>
        </w:rPr>
        <w:t>; (iv)</w:t>
      </w:r>
      <w:r w:rsidR="00711282" w:rsidRPr="00711282">
        <w:rPr>
          <w:color w:val="000000"/>
          <w:lang w:val="pt-BR"/>
        </w:rPr>
        <w:t xml:space="preserve"> </w:t>
      </w:r>
      <w:r w:rsidR="00711282" w:rsidRPr="00386E3F">
        <w:rPr>
          <w:color w:val="000000"/>
          <w:lang w:val="nl-NL"/>
        </w:rPr>
        <w:t>c</w:t>
      </w:r>
      <w:r w:rsidR="00711282" w:rsidRPr="002E605B">
        <w:rPr>
          <w:color w:val="000000"/>
          <w:lang w:val="vi-VN"/>
        </w:rPr>
        <w:t>ó số chênh lệch thu chi âm lũy kế lớn hơn hoặc bằng 75% số vốn điều lệ thực có của Quỹ đầu tư phát triển đị</w:t>
      </w:r>
      <w:r w:rsidR="00711282" w:rsidRPr="00711282">
        <w:rPr>
          <w:color w:val="000000"/>
          <w:lang w:val="pt-BR"/>
        </w:rPr>
        <w:t>a phương</w:t>
      </w:r>
      <w:r w:rsidR="00711282" w:rsidRPr="00386E3F">
        <w:rPr>
          <w:color w:val="000000"/>
          <w:lang w:val="nl-NL"/>
        </w:rPr>
        <w:t xml:space="preserve">; (v) </w:t>
      </w:r>
      <w:r w:rsidR="00711282" w:rsidRPr="002E605B">
        <w:rPr>
          <w:color w:val="000000"/>
          <w:lang w:val="vi-VN"/>
        </w:rPr>
        <w:t xml:space="preserve">Quỹ </w:t>
      </w:r>
      <w:r w:rsidR="00711282" w:rsidRPr="00386E3F">
        <w:rPr>
          <w:color w:val="000000"/>
          <w:lang w:val="nl-NL"/>
        </w:rPr>
        <w:t>ĐTPĐP</w:t>
      </w:r>
      <w:r w:rsidR="00711282" w:rsidRPr="002E605B">
        <w:rPr>
          <w:color w:val="000000"/>
          <w:lang w:val="vi-VN"/>
        </w:rPr>
        <w:t xml:space="preserve"> đã </w:t>
      </w:r>
      <w:r w:rsidR="00711282" w:rsidRPr="00711282">
        <w:rPr>
          <w:color w:val="000000"/>
          <w:lang w:val="pt-BR"/>
        </w:rPr>
        <w:t xml:space="preserve">được </w:t>
      </w:r>
      <w:r w:rsidR="00711282" w:rsidRPr="002E605B">
        <w:rPr>
          <w:color w:val="000000"/>
          <w:lang w:val="vi-VN"/>
        </w:rPr>
        <w:t xml:space="preserve">cơ cấu lại nhưng trong vòng 2 năm vẫn </w:t>
      </w:r>
      <w:r w:rsidR="00711282" w:rsidRPr="00B6039D">
        <w:rPr>
          <w:color w:val="000000"/>
          <w:lang w:val="vi-VN"/>
        </w:rPr>
        <w:t xml:space="preserve">tiếp tục </w:t>
      </w:r>
      <w:r w:rsidR="00711282" w:rsidRPr="002E605B">
        <w:rPr>
          <w:color w:val="000000"/>
          <w:lang w:val="vi-VN"/>
        </w:rPr>
        <w:t xml:space="preserve">hoạt động không đúng quy định của pháp luật hoặc vẫn </w:t>
      </w:r>
      <w:r w:rsidR="00711282" w:rsidRPr="005948BB">
        <w:rPr>
          <w:color w:val="000000"/>
          <w:lang w:val="vi-VN"/>
        </w:rPr>
        <w:t>bị</w:t>
      </w:r>
      <w:r w:rsidR="00711282" w:rsidRPr="002E605B">
        <w:rPr>
          <w:color w:val="000000"/>
          <w:lang w:val="vi-VN"/>
        </w:rPr>
        <w:t xml:space="preserve"> đánh giá xếp loại </w:t>
      </w:r>
      <w:r w:rsidR="00711282" w:rsidRPr="002E605B">
        <w:rPr>
          <w:color w:val="000000"/>
          <w:lang w:val="vi-VN"/>
        </w:rPr>
        <w:lastRenderedPageBreak/>
        <w:t>hoạt động chưa hiệu quả</w:t>
      </w:r>
      <w:r w:rsidR="00711282" w:rsidRPr="00386E3F">
        <w:rPr>
          <w:color w:val="000000"/>
          <w:lang w:val="nl-NL"/>
        </w:rPr>
        <w:t>.</w:t>
      </w:r>
    </w:p>
    <w:p w:rsidR="000E4143" w:rsidRPr="00E9299D" w:rsidRDefault="000E4143" w:rsidP="000E4143">
      <w:pPr>
        <w:widowControl w:val="0"/>
        <w:spacing w:before="120" w:after="120" w:line="360" w:lineRule="exact"/>
        <w:ind w:firstLine="709"/>
        <w:jc w:val="both"/>
        <w:outlineLvl w:val="0"/>
        <w:rPr>
          <w:b/>
          <w:i/>
          <w:lang w:val="nl-NL"/>
        </w:rPr>
      </w:pPr>
      <w:r w:rsidRPr="00E9299D">
        <w:rPr>
          <w:b/>
          <w:i/>
          <w:lang w:val="nl-NL"/>
        </w:rPr>
        <w:t>2.3. Nhóm chính sách về nâng cao hiệu quả hoạt động của Quỹ</w:t>
      </w:r>
    </w:p>
    <w:p w:rsidR="00EC1ABD" w:rsidRPr="00E9299D" w:rsidRDefault="008C5839" w:rsidP="000E4143">
      <w:pPr>
        <w:widowControl w:val="0"/>
        <w:spacing w:before="120" w:after="120" w:line="360" w:lineRule="exact"/>
        <w:ind w:firstLine="709"/>
        <w:jc w:val="both"/>
        <w:outlineLvl w:val="0"/>
        <w:rPr>
          <w:b/>
          <w:i/>
          <w:lang w:val="pt-BR"/>
        </w:rPr>
      </w:pPr>
      <w:r w:rsidRPr="00E9299D">
        <w:rPr>
          <w:b/>
          <w:i/>
          <w:lang w:val="nl-NL"/>
        </w:rPr>
        <w:t>2.</w:t>
      </w:r>
      <w:r w:rsidR="000E4143" w:rsidRPr="00E9299D">
        <w:rPr>
          <w:b/>
          <w:i/>
          <w:lang w:val="nl-NL"/>
        </w:rPr>
        <w:t>3.1</w:t>
      </w:r>
      <w:r w:rsidR="00EC1ABD" w:rsidRPr="00E9299D">
        <w:rPr>
          <w:b/>
          <w:i/>
          <w:lang w:val="pt-BR"/>
        </w:rPr>
        <w:t>. Về hoạt động cho vay của Quỹ ĐTPTĐP</w:t>
      </w:r>
    </w:p>
    <w:p w:rsidR="005C6171" w:rsidRDefault="00EC1ABD" w:rsidP="008917E5">
      <w:pPr>
        <w:widowControl w:val="0"/>
        <w:spacing w:before="120" w:after="120" w:line="360" w:lineRule="exact"/>
        <w:jc w:val="both"/>
        <w:rPr>
          <w:lang w:val="pt-BR"/>
        </w:rPr>
      </w:pPr>
      <w:r w:rsidRPr="00E9299D">
        <w:rPr>
          <w:i/>
          <w:lang w:val="nl-NL"/>
        </w:rPr>
        <w:tab/>
      </w:r>
      <w:r w:rsidR="005C6171" w:rsidRPr="005C6171">
        <w:rPr>
          <w:lang w:val="nl-NL"/>
        </w:rPr>
        <w:t xml:space="preserve">- </w:t>
      </w:r>
      <w:r w:rsidR="000E4143" w:rsidRPr="00E9299D">
        <w:rPr>
          <w:lang w:val="pt-BR"/>
        </w:rPr>
        <w:t xml:space="preserve">Xuất phát từ thực tế hoạt động của Quỹ ĐTPTĐP thời gian qua: (i) tỷ lệ nợ xấu ở một số Quỹ ở mức cao, mức lãi suất tối thiểu được UBND một số địa phương quy định ở mức thấp, chưa phản ánh được đầy đủ chi phí trong lãi suất cho vay; (ii) quy định về sử dụng dự phòng rủi ro cho vay, dự phòng rủi ro đầu tư trực tiếp đang được quy định ở cấp Thông tư, cần được quy định tại Nghị định để đảm bảo hiệu lực về pháp lý. </w:t>
      </w:r>
    </w:p>
    <w:p w:rsidR="000E4143" w:rsidRPr="00E9299D" w:rsidRDefault="005C6171" w:rsidP="005C6171">
      <w:pPr>
        <w:widowControl w:val="0"/>
        <w:spacing w:before="120" w:after="120" w:line="360" w:lineRule="exact"/>
        <w:ind w:firstLine="709"/>
        <w:jc w:val="both"/>
        <w:rPr>
          <w:lang w:val="nl-NL"/>
        </w:rPr>
      </w:pPr>
      <w:r>
        <w:rPr>
          <w:lang w:val="pt-BR"/>
        </w:rPr>
        <w:t xml:space="preserve">- </w:t>
      </w:r>
      <w:r w:rsidR="000E4143" w:rsidRPr="00E9299D">
        <w:rPr>
          <w:lang w:val="pt-BR"/>
        </w:rPr>
        <w:t xml:space="preserve">Dự thảo Nghị định đã rà soát, bổ sung các quy định về hoạt động cho vay </w:t>
      </w:r>
      <w:r>
        <w:rPr>
          <w:lang w:val="pt-BR"/>
        </w:rPr>
        <w:t xml:space="preserve">đối với Quỹ ĐTPTĐP </w:t>
      </w:r>
      <w:r w:rsidR="000E4143" w:rsidRPr="00E9299D">
        <w:rPr>
          <w:lang w:val="pt-BR"/>
        </w:rPr>
        <w:t>như sau:</w:t>
      </w:r>
    </w:p>
    <w:p w:rsidR="00EC1ABD" w:rsidRPr="00E9299D" w:rsidRDefault="00EC1ABD" w:rsidP="000E4143">
      <w:pPr>
        <w:widowControl w:val="0"/>
        <w:spacing w:before="120" w:after="120" w:line="360" w:lineRule="exact"/>
        <w:ind w:firstLine="720"/>
        <w:jc w:val="both"/>
        <w:rPr>
          <w:i/>
          <w:lang w:val="nl-NL"/>
        </w:rPr>
      </w:pPr>
      <w:r w:rsidRPr="00E9299D">
        <w:rPr>
          <w:i/>
          <w:lang w:val="nl-NL"/>
        </w:rPr>
        <w:t xml:space="preserve">a) Về điều kiện cho vay: </w:t>
      </w:r>
      <w:r w:rsidRPr="00E9299D">
        <w:rPr>
          <w:lang w:val="nl-NL"/>
        </w:rPr>
        <w:tab/>
      </w:r>
      <w:r w:rsidR="005C6171">
        <w:rPr>
          <w:lang w:val="nl-NL"/>
        </w:rPr>
        <w:t>D</w:t>
      </w:r>
      <w:r w:rsidRPr="00E9299D">
        <w:rPr>
          <w:lang w:val="nl-NL"/>
        </w:rPr>
        <w:t xml:space="preserve">ự thảo Nghị định </w:t>
      </w:r>
      <w:r w:rsidR="00234369" w:rsidRPr="00E9299D">
        <w:rPr>
          <w:lang w:val="nl-NL"/>
        </w:rPr>
        <w:t>bổ sung</w:t>
      </w:r>
      <w:r w:rsidRPr="00E9299D">
        <w:rPr>
          <w:lang w:val="nl-NL"/>
        </w:rPr>
        <w:t xml:space="preserve"> điều kiện cho vay từ Quỹ ĐTPTĐP</w:t>
      </w:r>
      <w:r w:rsidR="00234369" w:rsidRPr="00E9299D">
        <w:rPr>
          <w:lang w:val="nl-NL"/>
        </w:rPr>
        <w:t xml:space="preserve"> theo hướng thận trọng</w:t>
      </w:r>
      <w:r w:rsidRPr="00E9299D">
        <w:rPr>
          <w:lang w:val="nl-NL"/>
        </w:rPr>
        <w:t xml:space="preserve"> </w:t>
      </w:r>
      <w:r w:rsidR="005C6171">
        <w:rPr>
          <w:lang w:val="nl-NL"/>
        </w:rPr>
        <w:t>(</w:t>
      </w:r>
      <w:r w:rsidRPr="00E9299D">
        <w:rPr>
          <w:lang w:val="nl-NL"/>
        </w:rPr>
        <w:t>tương tự như điều kiện cho vay nguồn vốn tín dụng đầu tư của nhà nước</w:t>
      </w:r>
      <w:r w:rsidR="00234369" w:rsidRPr="00E9299D">
        <w:rPr>
          <w:lang w:val="nl-NL"/>
        </w:rPr>
        <w:t xml:space="preserve"> và điều kiện cho vay của tổ chức tín dụng</w:t>
      </w:r>
      <w:r w:rsidR="005C6171">
        <w:rPr>
          <w:lang w:val="nl-NL"/>
        </w:rPr>
        <w:t>)</w:t>
      </w:r>
      <w:r w:rsidRPr="00E9299D">
        <w:rPr>
          <w:lang w:val="nl-NL"/>
        </w:rPr>
        <w:t xml:space="preserve">, cụ thể: (i) dự án thuộc danh mục lĩnh vực </w:t>
      </w:r>
      <w:r w:rsidR="00547879">
        <w:rPr>
          <w:lang w:val="nl-NL"/>
        </w:rPr>
        <w:t>đầu tư, cho vay của Quỹ ĐTPTĐP</w:t>
      </w:r>
      <w:r w:rsidRPr="00E9299D">
        <w:rPr>
          <w:lang w:val="nl-NL"/>
        </w:rPr>
        <w:t xml:space="preserve"> đã được UBND cấp tỉnh ban hành; (ii) chủ đầu tư của dự án phải có năng lực pháp luật dân sự</w:t>
      </w:r>
      <w:r w:rsidR="00BB05F9" w:rsidRPr="00E9299D">
        <w:rPr>
          <w:lang w:val="nl-NL"/>
        </w:rPr>
        <w:t xml:space="preserve"> và không là công ty con, công ty liên kết của Quỹ</w:t>
      </w:r>
      <w:r w:rsidRPr="00E9299D">
        <w:rPr>
          <w:lang w:val="nl-NL"/>
        </w:rPr>
        <w:t>; (iii) dự án đã hoàn thành thủ tục đầu tư theo quy định của pháp luật</w:t>
      </w:r>
      <w:r w:rsidR="005C6171">
        <w:rPr>
          <w:lang w:val="nl-NL"/>
        </w:rPr>
        <w:t xml:space="preserve"> về đầu tư</w:t>
      </w:r>
      <w:r w:rsidRPr="00E9299D">
        <w:rPr>
          <w:lang w:val="nl-NL"/>
        </w:rPr>
        <w:t xml:space="preserve">; (iv) </w:t>
      </w:r>
      <w:r w:rsidR="00BB05F9" w:rsidRPr="00E9299D">
        <w:rPr>
          <w:lang w:val="nl-NL"/>
        </w:rPr>
        <w:t>dự án được Quỹ thẩm định, đánh giá là có hiệu quả, có khả năng trả được nợ vay; và (v) đã mua bảo hiểm tài sản đối với tài sản đảm bảo tiền vay thuộc đối tượng mua bảo hiểm bắt buộc</w:t>
      </w:r>
      <w:r w:rsidR="00547879">
        <w:rPr>
          <w:lang w:val="nl-NL"/>
        </w:rPr>
        <w:t xml:space="preserve"> (Điều 24</w:t>
      </w:r>
      <w:r w:rsidRPr="00E9299D">
        <w:rPr>
          <w:lang w:val="nl-NL"/>
        </w:rPr>
        <w:t>).</w:t>
      </w:r>
    </w:p>
    <w:p w:rsidR="00EC1ABD" w:rsidRPr="00E9299D" w:rsidRDefault="00EC1ABD" w:rsidP="008917E5">
      <w:pPr>
        <w:widowControl w:val="0"/>
        <w:spacing w:before="120" w:after="120" w:line="360" w:lineRule="exact"/>
        <w:ind w:firstLine="720"/>
        <w:jc w:val="both"/>
        <w:rPr>
          <w:lang w:val="nl-NL"/>
        </w:rPr>
      </w:pPr>
      <w:r w:rsidRPr="00E9299D">
        <w:rPr>
          <w:i/>
          <w:lang w:val="nl-NL"/>
        </w:rPr>
        <w:t xml:space="preserve">b) Về lãi suất cho vay: </w:t>
      </w:r>
      <w:r w:rsidRPr="00E9299D">
        <w:rPr>
          <w:lang w:val="nl-NL"/>
        </w:rPr>
        <w:t xml:space="preserve">Dự thảo Nghị định </w:t>
      </w:r>
      <w:r w:rsidR="000B625D" w:rsidRPr="00E9299D">
        <w:rPr>
          <w:color w:val="000000"/>
          <w:lang w:val="nl-NL"/>
        </w:rPr>
        <w:t xml:space="preserve">quy định lãi suất cho vay tối thiểu của Quỹ được xác định theo nguyên tắc không thấp hơn lãi suất huy động bình quân của các nguồn vốn huy động, chi phí cơ hội của vốn chủ sở hữu, đảm bảo bù đắp chi phí quản lý, các chi phí khác có liên quan đến hoạt động của vay của Quỹ và bảo toàn, phát triển nguồn vốn chủ sở hữu. Trong đó, </w:t>
      </w:r>
      <w:r w:rsidR="000B625D" w:rsidRPr="005C6171">
        <w:rPr>
          <w:i/>
          <w:color w:val="000000"/>
          <w:lang w:val="nl-NL"/>
        </w:rPr>
        <w:t>chi phí cơ hội của vốn chủ sở hữu được tính tối thiểu bằng bình quân lãi suất trái phiếu Chính phủ kỳ hạn 5 (năm) công bố tại Sở Giao dịch Chứng khoán Hà Nội trong 5 (năm) tháng gần nhất</w:t>
      </w:r>
      <w:r w:rsidRPr="00E9299D">
        <w:rPr>
          <w:lang w:val="nl-NL"/>
        </w:rPr>
        <w:t>. Căn cứ nguyên tắc này, hàng năm hoặc trong từng thời kỳ, Quỹ ĐTPTĐP báo cáo UBND cấp tỉnh ban hành mức lãi suất cho vay tối thiểu. Quy định nêu trên đảm bảo khả năng sinh lời của vốn chủ sở hữu, đảm bảo bù đắp các chi phí liên quan đến hoạt động cho vay, bao gồm cả chi phí dự phòng rủi ro của Quỹ.</w:t>
      </w:r>
    </w:p>
    <w:p w:rsidR="000E4143" w:rsidRPr="00E9299D" w:rsidRDefault="000E4143" w:rsidP="008917E5">
      <w:pPr>
        <w:widowControl w:val="0"/>
        <w:spacing w:before="120" w:after="120" w:line="360" w:lineRule="exact"/>
        <w:ind w:firstLine="720"/>
        <w:jc w:val="both"/>
        <w:rPr>
          <w:i/>
          <w:lang w:val="nl-NL"/>
        </w:rPr>
      </w:pPr>
      <w:r w:rsidRPr="00E9299D">
        <w:rPr>
          <w:i/>
          <w:lang w:val="nl-NL"/>
        </w:rPr>
        <w:t>c) Về cấp bù chênh lệch lãi suất</w:t>
      </w:r>
    </w:p>
    <w:p w:rsidR="000E4143" w:rsidRPr="00E9299D" w:rsidRDefault="000E4143" w:rsidP="000E4143">
      <w:pPr>
        <w:widowControl w:val="0"/>
        <w:spacing w:before="120" w:after="120" w:line="360" w:lineRule="exact"/>
        <w:ind w:firstLine="706"/>
        <w:jc w:val="both"/>
        <w:rPr>
          <w:lang w:val="nl-NL"/>
        </w:rPr>
      </w:pPr>
      <w:r w:rsidRPr="00E9299D">
        <w:rPr>
          <w:lang w:val="nl-NL"/>
        </w:rPr>
        <w:t xml:space="preserve">- Theo quy định tại Nghị định số 138 và Nghị định số 37, UBND cấp tỉnh ban hành mức lãi suất cho vay tối thiểu của Quỹ. Quỹ ĐTPTĐP không được cho vay với lãi suất thấp hơn mức lãi suất cho vay tối thiểu. Trường hợp UBND cấp </w:t>
      </w:r>
      <w:r w:rsidRPr="00E9299D">
        <w:rPr>
          <w:lang w:val="nl-NL"/>
        </w:rPr>
        <w:lastRenderedPageBreak/>
        <w:t>tỉnh quyết định cho vay với lãi suất thấp hơn mức lãi suất cho vay tối thiểu thì UBND cấp tỉnh có trách nhiệm cấp bù phần chênh lệch lãi suất cho Quỹ để đảm bảo bảo toàn và phát triển vốn của Quỹ.</w:t>
      </w:r>
    </w:p>
    <w:p w:rsidR="000E4143" w:rsidRPr="00E9299D" w:rsidRDefault="000E4143" w:rsidP="000E4143">
      <w:pPr>
        <w:widowControl w:val="0"/>
        <w:spacing w:before="120" w:after="120" w:line="360" w:lineRule="exact"/>
        <w:ind w:firstLine="706"/>
        <w:jc w:val="both"/>
        <w:rPr>
          <w:lang w:val="nl-NL"/>
        </w:rPr>
      </w:pPr>
      <w:r w:rsidRPr="00E9299D">
        <w:rPr>
          <w:lang w:val="nl-NL"/>
        </w:rPr>
        <w:t xml:space="preserve">- Theo quy định của Luật Ngân sách Nhà nước 2015, NSNN không hỗ trợ kinh phí hoạt động cho các quỹ tài chính nhà nước ngoài ngân sách (Khoản 11 Điều 8). </w:t>
      </w:r>
      <w:r w:rsidR="00FF4307">
        <w:rPr>
          <w:lang w:val="nl-NL"/>
        </w:rPr>
        <w:t>Qua</w:t>
      </w:r>
      <w:r w:rsidRPr="00E9299D">
        <w:rPr>
          <w:lang w:val="nl-NL"/>
        </w:rPr>
        <w:t xml:space="preserve"> kiểm tra</w:t>
      </w:r>
      <w:r w:rsidR="00FF4307">
        <w:rPr>
          <w:lang w:val="nl-NL"/>
        </w:rPr>
        <w:t xml:space="preserve"> giám sát,</w:t>
      </w:r>
      <w:r w:rsidRPr="00E9299D">
        <w:rPr>
          <w:lang w:val="nl-NL"/>
        </w:rPr>
        <w:t xml:space="preserve"> Bộ Tài chính nhận thấy có trường hợp UBND cấp tỉnh thường xuyên quyết định cho vay với lãi suất 0% và cấp bù chênh lệch lãi suất cho Quỹ (tỉnh Bắc Ninh). Ngân sách địa phương phải chịu chi phí, trong khi doanh nghiệp vay vốn được hưởng ưu đãi (mặc dù mức lãi suất cho vay tối thiểu của Quỹ ĐTPTĐP hiện trung bình là 8%, thấp hơn mức lãi suất cho vay của các tổ chức tín dụng).</w:t>
      </w:r>
    </w:p>
    <w:p w:rsidR="000E4143" w:rsidRPr="00E9299D" w:rsidRDefault="000E4143" w:rsidP="000E4143">
      <w:pPr>
        <w:widowControl w:val="0"/>
        <w:spacing w:before="120" w:after="120" w:line="360" w:lineRule="exact"/>
        <w:ind w:firstLine="706"/>
        <w:jc w:val="both"/>
        <w:rPr>
          <w:lang w:val="nl-NL"/>
        </w:rPr>
      </w:pPr>
      <w:r w:rsidRPr="00E9299D">
        <w:rPr>
          <w:lang w:val="nl-NL"/>
        </w:rPr>
        <w:t xml:space="preserve">- </w:t>
      </w:r>
      <w:r w:rsidR="00200427">
        <w:rPr>
          <w:lang w:val="nl-NL"/>
        </w:rPr>
        <w:t>Đ</w:t>
      </w:r>
      <w:r w:rsidRPr="00E9299D">
        <w:rPr>
          <w:lang w:val="nl-NL"/>
        </w:rPr>
        <w:t xml:space="preserve">ể phù hợp với quy định tại Luật NSNN, dự thảo Nghị định quy định </w:t>
      </w:r>
      <w:r w:rsidR="00200427">
        <w:rPr>
          <w:lang w:val="nl-NL"/>
        </w:rPr>
        <w:t xml:space="preserve">theo hướng không </w:t>
      </w:r>
      <w:r w:rsidRPr="00E9299D">
        <w:rPr>
          <w:lang w:val="nl-NL"/>
        </w:rPr>
        <w:t>cho phép UBND cấp bù chênh lệch lãi suất cho Quỹ.</w:t>
      </w:r>
    </w:p>
    <w:p w:rsidR="00EC1ABD" w:rsidRPr="00E9299D" w:rsidRDefault="000E4143" w:rsidP="008917E5">
      <w:pPr>
        <w:widowControl w:val="0"/>
        <w:spacing w:before="120" w:after="120" w:line="360" w:lineRule="exact"/>
        <w:ind w:firstLine="709"/>
        <w:jc w:val="both"/>
        <w:rPr>
          <w:i/>
          <w:lang w:val="nl-NL"/>
        </w:rPr>
      </w:pPr>
      <w:r w:rsidRPr="00E9299D">
        <w:rPr>
          <w:i/>
          <w:lang w:val="nl-NL"/>
        </w:rPr>
        <w:t>d</w:t>
      </w:r>
      <w:r w:rsidR="00EC1ABD" w:rsidRPr="00E9299D">
        <w:rPr>
          <w:i/>
          <w:lang w:val="nl-NL"/>
        </w:rPr>
        <w:t xml:space="preserve">) Về </w:t>
      </w:r>
      <w:r w:rsidRPr="00E9299D">
        <w:rPr>
          <w:i/>
          <w:lang w:val="nl-NL"/>
        </w:rPr>
        <w:t>thẩm quyền và quy trình xử lý</w:t>
      </w:r>
      <w:r w:rsidR="00EC1ABD" w:rsidRPr="00E9299D">
        <w:rPr>
          <w:i/>
          <w:lang w:val="nl-NL"/>
        </w:rPr>
        <w:t xml:space="preserve"> rủi ro cho vay:</w:t>
      </w:r>
    </w:p>
    <w:p w:rsidR="000E4143" w:rsidRPr="00E9299D" w:rsidRDefault="000E4143" w:rsidP="000E4143">
      <w:pPr>
        <w:widowControl w:val="0"/>
        <w:spacing w:before="120" w:after="120" w:line="360" w:lineRule="exact"/>
        <w:ind w:firstLine="706"/>
        <w:jc w:val="both"/>
        <w:rPr>
          <w:lang w:val="nl-NL"/>
        </w:rPr>
      </w:pPr>
      <w:r w:rsidRPr="00E9299D">
        <w:rPr>
          <w:lang w:val="nl-NL"/>
        </w:rPr>
        <w:t>Dự thảo Nghị định đã sửa đổi thẩm quyền và quy trình xử lý rủi ro cho vay trên cơ sở rà soát quy định hiện hành của các tổ chức tín dụng (Thông tư số 02/2013/TT-NHHH, Thông tư số 09/2014/TT-NHN và Thông tư số 39/2016/TT-NHNN) và quy định đối với vốn tín dụng đầu tư của Ngân hàng Phát triển (Nghị định số 32/2017/NĐ-CP). Cụ thể, dự thảo Nghị định quy định (Điều 30):</w:t>
      </w:r>
    </w:p>
    <w:p w:rsidR="000E4143" w:rsidRPr="00E9299D" w:rsidRDefault="000E4143" w:rsidP="000E4143">
      <w:pPr>
        <w:widowControl w:val="0"/>
        <w:spacing w:before="120" w:after="120" w:line="360" w:lineRule="exact"/>
        <w:ind w:firstLine="706"/>
        <w:jc w:val="both"/>
        <w:rPr>
          <w:lang w:val="nl-NL"/>
        </w:rPr>
      </w:pPr>
      <w:r w:rsidRPr="00E9299D">
        <w:rPr>
          <w:lang w:val="nl-NL"/>
        </w:rPr>
        <w:t>- Việc xử lý rủi ro đối với các dự án vay vốn của Quỹ ĐTPTĐP như sau:</w:t>
      </w:r>
    </w:p>
    <w:p w:rsidR="000E4143" w:rsidRPr="00E9299D" w:rsidRDefault="000E4143" w:rsidP="000E4143">
      <w:pPr>
        <w:widowControl w:val="0"/>
        <w:spacing w:before="120" w:after="120" w:line="360" w:lineRule="exact"/>
        <w:ind w:firstLine="706"/>
        <w:jc w:val="both"/>
        <w:rPr>
          <w:lang w:val="nl-NL"/>
        </w:rPr>
      </w:pPr>
      <w:r w:rsidRPr="00E9299D">
        <w:rPr>
          <w:lang w:val="nl-NL"/>
        </w:rPr>
        <w:t>+ Trường hợp chủ đầu tư gặp khó khăn trong trả nợ vay thì Quỹ xem xét điều chỉnh kỳ hạn trả nợ và/hoặc gia hạn nợ; miễn, giảm lãi tiền vay hoặc chấm dứt cho vay và thu hồi nợ trước hạn.</w:t>
      </w:r>
    </w:p>
    <w:p w:rsidR="000E4143" w:rsidRPr="00E9299D" w:rsidRDefault="000E4143" w:rsidP="000E4143">
      <w:pPr>
        <w:widowControl w:val="0"/>
        <w:spacing w:before="120" w:after="120" w:line="360" w:lineRule="exact"/>
        <w:ind w:firstLine="706"/>
        <w:jc w:val="both"/>
        <w:rPr>
          <w:lang w:val="nl-NL"/>
        </w:rPr>
      </w:pPr>
      <w:r w:rsidRPr="00E9299D">
        <w:rPr>
          <w:lang w:val="nl-NL"/>
        </w:rPr>
        <w:t>+ Trường hợp chủ đầu tư không trả được nợ đến hạn thì Quỹ áp dụng các biện pháp thu hồi nợ theo thỏa thuận cho vay, hợp đồng bảo đảm và quy định của pháp luật có liên quan. Trường hợp sau khi áp dụng các biện pháp thu hồi nợ nhưng vẫn không đủ để hoàn thành nghĩa vụ trả nợ đối với Quỹ, thì chủ đầu tư có trách nhiệm tiếp tục trả đầy đủ nợ gốc và lãi tiền vay cho Quỹ.</w:t>
      </w:r>
    </w:p>
    <w:p w:rsidR="000E4143" w:rsidRPr="00E9299D" w:rsidRDefault="000E4143" w:rsidP="000E4143">
      <w:pPr>
        <w:widowControl w:val="0"/>
        <w:spacing w:before="120" w:after="120" w:line="360" w:lineRule="exact"/>
        <w:ind w:firstLine="706"/>
        <w:jc w:val="both"/>
        <w:rPr>
          <w:lang w:val="nl-NL"/>
        </w:rPr>
      </w:pPr>
      <w:r w:rsidRPr="00E9299D">
        <w:rPr>
          <w:lang w:val="nl-NL"/>
        </w:rPr>
        <w:t>- Thẩm quyền xử lý rủi ro:</w:t>
      </w:r>
    </w:p>
    <w:p w:rsidR="000E4143" w:rsidRPr="00E9299D" w:rsidRDefault="000E4143" w:rsidP="000E4143">
      <w:pPr>
        <w:widowControl w:val="0"/>
        <w:spacing w:before="120" w:after="120" w:line="360" w:lineRule="exact"/>
        <w:ind w:firstLine="706"/>
        <w:jc w:val="both"/>
        <w:rPr>
          <w:lang w:val="nl-NL"/>
        </w:rPr>
      </w:pPr>
      <w:r w:rsidRPr="00E9299D">
        <w:rPr>
          <w:lang w:val="nl-NL"/>
        </w:rPr>
        <w:t>+ Cấp quyết định cho vay có thẩm quyền quyết định gia hạn nợ, sử dụng dự phòng để xử lý rủi ro và chịu trách nhiệm về quyết định của mình;</w:t>
      </w:r>
    </w:p>
    <w:p w:rsidR="000E4143" w:rsidRPr="00E9299D" w:rsidRDefault="000E4143" w:rsidP="000E4143">
      <w:pPr>
        <w:widowControl w:val="0"/>
        <w:spacing w:before="120" w:after="120" w:line="360" w:lineRule="exact"/>
        <w:ind w:firstLine="706"/>
        <w:jc w:val="both"/>
        <w:rPr>
          <w:lang w:val="nl-NL"/>
        </w:rPr>
      </w:pPr>
      <w:r w:rsidRPr="00E9299D">
        <w:rPr>
          <w:lang w:val="nl-NL"/>
        </w:rPr>
        <w:t>+ Hội đồng quản lý Quỹ quyết định việc điều chỉnh kỳ hạn trả nợ; miễn, giảm lãi tiền vay;</w:t>
      </w:r>
    </w:p>
    <w:p w:rsidR="000E4143" w:rsidRPr="00E9299D" w:rsidRDefault="000E4143" w:rsidP="000E4143">
      <w:pPr>
        <w:widowControl w:val="0"/>
        <w:spacing w:before="120" w:after="120" w:line="360" w:lineRule="exact"/>
        <w:ind w:firstLine="706"/>
        <w:jc w:val="both"/>
        <w:rPr>
          <w:lang w:val="nl-NL"/>
        </w:rPr>
      </w:pPr>
      <w:r w:rsidRPr="00E9299D">
        <w:rPr>
          <w:lang w:val="nl-NL"/>
        </w:rPr>
        <w:t>+ Chủ tịch UBND cấp tỉnh quyết định việc xóa nợ gốc và báo cáo HĐND cấp tỉnh sau khi quyết định.</w:t>
      </w:r>
    </w:p>
    <w:p w:rsidR="000E4143" w:rsidRPr="00E9299D" w:rsidRDefault="000E4143" w:rsidP="000E4143">
      <w:pPr>
        <w:widowControl w:val="0"/>
        <w:spacing w:before="120" w:after="120" w:line="360" w:lineRule="exact"/>
        <w:ind w:firstLine="706"/>
        <w:jc w:val="both"/>
        <w:rPr>
          <w:lang w:val="nl-NL"/>
        </w:rPr>
      </w:pPr>
      <w:r w:rsidRPr="00E9299D">
        <w:rPr>
          <w:lang w:val="nl-NL"/>
        </w:rPr>
        <w:lastRenderedPageBreak/>
        <w:t>- Quy trình, thẩm quyền xử lý rủi ro thực hiện theo quy chế xử lý rủi ro của Quỹ ĐTPTĐP do Chủ tịch HĐQL ban hành sau khi có ý kiến chấp thuận của UBND cấp tỉnh.</w:t>
      </w:r>
    </w:p>
    <w:p w:rsidR="00EC1ABD" w:rsidRPr="00E9299D" w:rsidRDefault="00EC1ABD" w:rsidP="008917E5">
      <w:pPr>
        <w:widowControl w:val="0"/>
        <w:tabs>
          <w:tab w:val="left" w:pos="271"/>
          <w:tab w:val="left" w:pos="534"/>
        </w:tabs>
        <w:spacing w:before="120" w:after="120" w:line="360" w:lineRule="exact"/>
        <w:ind w:firstLine="709"/>
        <w:jc w:val="both"/>
        <w:rPr>
          <w:lang w:val="nl-NL"/>
        </w:rPr>
      </w:pPr>
      <w:r w:rsidRPr="00E9299D">
        <w:rPr>
          <w:i/>
          <w:lang w:val="nl-NL"/>
        </w:rPr>
        <w:t xml:space="preserve">d) Về giới hạn cho vay: </w:t>
      </w:r>
      <w:r w:rsidRPr="00E9299D">
        <w:rPr>
          <w:lang w:val="nl-NL"/>
        </w:rPr>
        <w:t>dự thảo Nghị định quy định giới hạn cho vay đối với một dự án, giới hạn cho vay đối với một khách hàng</w:t>
      </w:r>
      <w:r w:rsidR="00FF4307">
        <w:rPr>
          <w:lang w:val="nl-NL"/>
        </w:rPr>
        <w:t>, nhóm khách hàng</w:t>
      </w:r>
      <w:r w:rsidRPr="00E9299D">
        <w:rPr>
          <w:lang w:val="nl-NL"/>
        </w:rPr>
        <w:t xml:space="preserve"> và giới hạn khi Quỹ vừa thực hiện đầu </w:t>
      </w:r>
      <w:r w:rsidR="00216ABE" w:rsidRPr="00E9299D">
        <w:rPr>
          <w:lang w:val="nl-NL"/>
        </w:rPr>
        <w:t>tư, vừa cho vay đối với 1 dự án</w:t>
      </w:r>
      <w:r w:rsidRPr="00E9299D">
        <w:rPr>
          <w:lang w:val="nl-NL"/>
        </w:rPr>
        <w:t>. Quy định này tương tự quy định đối với tổ chức tín dụng và đảm bảo an toàn trong hoạt động cho vay của Quỹ.</w:t>
      </w:r>
    </w:p>
    <w:p w:rsidR="00EC1ABD" w:rsidRPr="00E9299D" w:rsidRDefault="00EC1ABD" w:rsidP="008917E5">
      <w:pPr>
        <w:widowControl w:val="0"/>
        <w:spacing w:before="120" w:after="120" w:line="360" w:lineRule="exact"/>
        <w:ind w:firstLine="709"/>
        <w:jc w:val="both"/>
        <w:rPr>
          <w:b/>
          <w:i/>
          <w:lang w:val="nl-NL"/>
        </w:rPr>
      </w:pPr>
      <w:r w:rsidRPr="00E9299D">
        <w:rPr>
          <w:b/>
          <w:i/>
          <w:lang w:val="nl-NL"/>
        </w:rPr>
        <w:t>2.</w:t>
      </w:r>
      <w:r w:rsidR="000E4143" w:rsidRPr="00E9299D">
        <w:rPr>
          <w:b/>
          <w:i/>
          <w:lang w:val="nl-NL"/>
        </w:rPr>
        <w:t>3.2</w:t>
      </w:r>
      <w:r w:rsidRPr="00E9299D">
        <w:rPr>
          <w:b/>
          <w:i/>
          <w:lang w:val="nl-NL"/>
        </w:rPr>
        <w:t>. Về hoạt động đầu tư của Quỹ</w:t>
      </w:r>
    </w:p>
    <w:p w:rsidR="00BC5D65" w:rsidRPr="00E9299D" w:rsidRDefault="00BC5D65" w:rsidP="00BC5D65">
      <w:pPr>
        <w:widowControl w:val="0"/>
        <w:spacing w:before="120" w:after="120" w:line="360" w:lineRule="exact"/>
        <w:ind w:firstLine="706"/>
        <w:jc w:val="both"/>
        <w:rPr>
          <w:i/>
          <w:lang w:val="nl-NL"/>
        </w:rPr>
      </w:pPr>
      <w:r w:rsidRPr="00E9299D">
        <w:rPr>
          <w:i/>
          <w:lang w:val="nl-NL"/>
        </w:rPr>
        <w:t>a) Về hình thức đầu tư</w:t>
      </w:r>
    </w:p>
    <w:p w:rsidR="00BC5D65" w:rsidRPr="00E9299D" w:rsidRDefault="00BC5D65" w:rsidP="00BC5D65">
      <w:pPr>
        <w:widowControl w:val="0"/>
        <w:spacing w:before="120" w:after="120" w:line="360" w:lineRule="exact"/>
        <w:ind w:firstLine="706"/>
        <w:jc w:val="both"/>
        <w:rPr>
          <w:lang w:val="nl-NL"/>
        </w:rPr>
      </w:pPr>
      <w:r w:rsidRPr="00E9299D">
        <w:rPr>
          <w:lang w:val="nl-NL"/>
        </w:rPr>
        <w:t xml:space="preserve">- Nghị định số 138 và Nghị định số 37 quy định Quỹ ĐTPTĐP thực hiện hoạt động đầu tư trực tiếp và góp vốn thành lập tổ chức kinh tế. </w:t>
      </w:r>
    </w:p>
    <w:p w:rsidR="00BC5D65" w:rsidRPr="00E9299D" w:rsidRDefault="00BC5D65" w:rsidP="00BC5D65">
      <w:pPr>
        <w:widowControl w:val="0"/>
        <w:spacing w:before="120" w:after="120" w:line="360" w:lineRule="exact"/>
        <w:ind w:firstLine="706"/>
        <w:jc w:val="both"/>
        <w:rPr>
          <w:lang w:val="nl-NL"/>
        </w:rPr>
      </w:pPr>
      <w:r w:rsidRPr="00E9299D">
        <w:rPr>
          <w:lang w:val="nl-NL"/>
        </w:rPr>
        <w:t>- Theo quy định hiện hành tại Luật Đầu tư năm 2014, "</w:t>
      </w:r>
      <w:r w:rsidRPr="00E9299D">
        <w:rPr>
          <w:i/>
          <w:lang w:val="nl-NL"/>
        </w:rPr>
        <w:t>đầu tư kinh doanh là việc nhà đầu tư bỏ vốn đầu tư để thực hiện hoạt động kinh doanh thông qua việc thành lập tổ chức kinh tế; đầu tư góp vốn, mua cổ phần, phần vốn góp của tổ chức kinh tế; đầu tư theo hình thức hợp đồng hoặc thực hiện dự án đầu tư</w:t>
      </w:r>
      <w:r w:rsidRPr="00E9299D">
        <w:rPr>
          <w:lang w:val="nl-NL"/>
        </w:rPr>
        <w:t xml:space="preserve">" (Khoản 5 Điều 3). Theo đó, hoạt động góp vốn thành lập tổ chức kinh tế chỉ là 1 hình thức đầu tư. </w:t>
      </w:r>
    </w:p>
    <w:p w:rsidR="00BC5D65" w:rsidRPr="00E9299D" w:rsidRDefault="00BC5D65" w:rsidP="00BC5D65">
      <w:pPr>
        <w:widowControl w:val="0"/>
        <w:spacing w:before="120" w:after="120" w:line="360" w:lineRule="exact"/>
        <w:ind w:firstLine="706"/>
        <w:jc w:val="both"/>
        <w:rPr>
          <w:lang w:val="nl-NL"/>
        </w:rPr>
      </w:pPr>
      <w:r w:rsidRPr="00E9299D">
        <w:rPr>
          <w:lang w:val="nl-NL"/>
        </w:rPr>
        <w:t xml:space="preserve">- Do vậy, để phù hợp với quy định hiện hành tại Luật Đầu tư, tại dự thảo Nghị định, Vụ TCNH trình Bộ quy định theo hướng Quỹ ĐTPTĐP được phép đầu tư theo các hình thức đầu tư quy định tại Luật Đầu tư, bao gồm: (i) thành lập tổ chức kinh tế, đầu tư góp vốn, mua cổ phần, phần vốn góp của tổ chức kinh tế và (ii) đầu tư theo hình thức hợp đồng hoặc thực hiện dự án đầu tư. </w:t>
      </w:r>
    </w:p>
    <w:p w:rsidR="00BC5D65" w:rsidRPr="00E9299D" w:rsidRDefault="00BC5D65" w:rsidP="00BC5D65">
      <w:pPr>
        <w:widowControl w:val="0"/>
        <w:spacing w:before="120" w:after="120" w:line="360" w:lineRule="exact"/>
        <w:ind w:firstLine="706"/>
        <w:jc w:val="both"/>
        <w:rPr>
          <w:i/>
          <w:lang w:val="nl-NL"/>
        </w:rPr>
      </w:pPr>
      <w:r w:rsidRPr="00E9299D">
        <w:rPr>
          <w:i/>
          <w:lang w:val="nl-NL"/>
        </w:rPr>
        <w:t xml:space="preserve">b) Về lĩnh vực đầu tư </w:t>
      </w:r>
    </w:p>
    <w:p w:rsidR="00BC5D65" w:rsidRPr="00E9299D" w:rsidRDefault="00BC5D65" w:rsidP="00BC5D65">
      <w:pPr>
        <w:widowControl w:val="0"/>
        <w:spacing w:before="120" w:after="120" w:line="360" w:lineRule="exact"/>
        <w:ind w:firstLine="706"/>
        <w:jc w:val="both"/>
        <w:rPr>
          <w:lang w:val="nl-NL"/>
        </w:rPr>
      </w:pPr>
      <w:r w:rsidRPr="00E9299D">
        <w:rPr>
          <w:lang w:val="nl-NL"/>
        </w:rPr>
        <w:t>- Nghị định số 138 và Nghị định số 37 quy định Quỹ ĐTPTĐP đầu tư và góp vốn thành lập tổ chức kinh tế thuộc danh mục các lĩnh vực kết cấu hạ tầng kinh tế - xã hội ưu tiên phát triển của địa phương đã được UBND cấp tỉnh ban hành</w:t>
      </w:r>
      <w:r w:rsidR="00200427">
        <w:rPr>
          <w:lang w:val="nl-NL"/>
        </w:rPr>
        <w:t>;</w:t>
      </w:r>
      <w:r w:rsidRPr="00E9299D">
        <w:rPr>
          <w:lang w:val="nl-NL"/>
        </w:rPr>
        <w:t xml:space="preserve"> Nghị định quy định danh mục các lĩnh vực đầu tư kết cấu hạ tầng kinh tế - xã hội làm căn cứ để UBND cấp tỉnh xem xét, thực hiện.</w:t>
      </w:r>
    </w:p>
    <w:p w:rsidR="00711282" w:rsidRDefault="00711282" w:rsidP="00711282">
      <w:pPr>
        <w:widowControl w:val="0"/>
        <w:spacing w:before="120" w:after="120" w:line="360" w:lineRule="exact"/>
        <w:ind w:firstLine="706"/>
        <w:jc w:val="both"/>
        <w:rPr>
          <w:lang w:val="nl-NL"/>
        </w:rPr>
      </w:pPr>
      <w:r>
        <w:rPr>
          <w:lang w:val="nl-NL"/>
        </w:rPr>
        <w:t xml:space="preserve">- Trong quá trình triển khai, có nhiều cách hiểu về khái niệm "kết cấu hạ tầng", trong đó có ý kiến cho rằng lĩnh vực kết cấu hạ tầng chỉ bao gồm phần xây dựng, không bao gồm phần máy móc, thiết bị. Theo đó, đối với một số dự án xây dựng bệnh viện, hạ tầng khu công nghiệp, dự án xử lý rác thải..., Quỹ chỉ được đầu tư phần xây dựng (chiếm tỷ trọng nhỏ của dự án) mà không được đầu tư phần máy móc, thiết bị (chiếm tỷ trọng lớn của dự án). Trong bối cảnh các dự án do Quỹ đầu tư thường có tỷ lệ sinh lời thấp, khó tìm kiếm được nguồn vốn từ khu vực tư nhân, với cách hiểu về " kết cấu hạ tầng" chưa thống nhất, dẫn đến </w:t>
      </w:r>
      <w:r>
        <w:rPr>
          <w:lang w:val="nl-NL"/>
        </w:rPr>
        <w:lastRenderedPageBreak/>
        <w:t xml:space="preserve">Quỹ không thể cho vay được các dự án đầu tư có cả phần máy móc, thiết bị ảnh hưởng đến mục tiêu phát triển kinh tế - xã hội của địa phương. </w:t>
      </w:r>
    </w:p>
    <w:p w:rsidR="00711282" w:rsidRDefault="00711282" w:rsidP="00711282">
      <w:pPr>
        <w:widowControl w:val="0"/>
        <w:spacing w:before="120" w:after="120" w:line="360" w:lineRule="exact"/>
        <w:ind w:firstLine="706"/>
        <w:jc w:val="both"/>
        <w:rPr>
          <w:lang w:val="nl-NL"/>
        </w:rPr>
      </w:pPr>
      <w:r>
        <w:rPr>
          <w:lang w:val="nl-NL"/>
        </w:rPr>
        <w:t>- Trong quá trình triển khai thực hiện, nhiều địa phương và các Quỹ ĐTPTĐP phản ánh danh mục khung ban hành tại Nghị định số 37 hiện nay không bao gồm hết các lĩnh vực ưu tiên phát triển của địa phương. Nhiều địa phương muốn ưu tiên phát triển một số lĩnh vực đặc thù nhưng không có trong danh mục khung của Nghị định số 37 nên không thể triển khai được. Đồng thời,  trong quá trình thực hiện, nhiều địa phương có văn bản hỏi về các lĩnh vực đầu tư được phép của Quỹ ĐTPTĐP gây chậm trễ trong triển khai thự</w:t>
      </w:r>
      <w:r w:rsidR="005C6171">
        <w:rPr>
          <w:lang w:val="nl-NL"/>
        </w:rPr>
        <w:t>c hiện dẫn đến chưa</w:t>
      </w:r>
      <w:r>
        <w:rPr>
          <w:lang w:val="nl-NL"/>
        </w:rPr>
        <w:t xml:space="preserve"> thu hút vốn từ khu vực tư nhân. </w:t>
      </w:r>
    </w:p>
    <w:p w:rsidR="00711282" w:rsidRDefault="00711282" w:rsidP="00711282">
      <w:pPr>
        <w:widowControl w:val="0"/>
        <w:spacing w:before="120" w:after="120" w:line="360" w:lineRule="exact"/>
        <w:ind w:firstLine="706"/>
        <w:jc w:val="both"/>
        <w:rPr>
          <w:color w:val="000000"/>
          <w:lang w:val="nl-NL"/>
        </w:rPr>
      </w:pPr>
      <w:r>
        <w:rPr>
          <w:lang w:val="nl-NL"/>
        </w:rPr>
        <w:t>- Để khắc phục các khó khăn, vướng mắc nêu trên, tại dự thảo Nghị định giao quyền chủ động cho các địa phương theo hướng c</w:t>
      </w:r>
      <w:r w:rsidRPr="00711282">
        <w:rPr>
          <w:color w:val="000000"/>
          <w:lang w:val="nl-NL"/>
        </w:rPr>
        <w:t xml:space="preserve">ăn cứ vào chiến lược phát triển kinh tế - xã hội của địa phương, hàng năm hoặc trong từng thời kỳ, </w:t>
      </w:r>
      <w:r w:rsidRPr="00713D48">
        <w:rPr>
          <w:color w:val="000000"/>
          <w:lang w:val="nl-NL"/>
        </w:rPr>
        <w:t xml:space="preserve">UBND </w:t>
      </w:r>
      <w:r w:rsidRPr="00711282">
        <w:rPr>
          <w:color w:val="000000"/>
          <w:lang w:val="nl-NL"/>
        </w:rPr>
        <w:t>cấp tỉnh quyết định ban hành danh mục lĩnh vực đầu tư, cho vay của Quỹ</w:t>
      </w:r>
      <w:r w:rsidRPr="00713D48">
        <w:rPr>
          <w:color w:val="000000"/>
          <w:lang w:val="nl-NL"/>
        </w:rPr>
        <w:t xml:space="preserve"> ĐTPTĐP</w:t>
      </w:r>
      <w:r w:rsidRPr="00711282">
        <w:rPr>
          <w:color w:val="000000"/>
          <w:lang w:val="nl-NL"/>
        </w:rPr>
        <w:t xml:space="preserve"> sau khi có ý kiến thông qua của Hội đồng nhân dân cấp tỉnh</w:t>
      </w:r>
      <w:r w:rsidR="00547879">
        <w:rPr>
          <w:color w:val="000000"/>
          <w:lang w:val="nl-NL"/>
        </w:rPr>
        <w:t>, đảm bảo phù hợp với Nghị quyết của HĐND cấp tỉnh về kế hoạch phát triển kinh tế - xã hội dài hạn, trung hạn, hàng năm của địa phương và quy hoạch, kế hoạch phát triển các ngành, lĩnh vực trên địa bàn</w:t>
      </w:r>
      <w:r w:rsidRPr="00711282">
        <w:rPr>
          <w:color w:val="000000"/>
          <w:lang w:val="nl-NL"/>
        </w:rPr>
        <w:t>.</w:t>
      </w:r>
      <w:r w:rsidRPr="001D7A41">
        <w:rPr>
          <w:color w:val="000000"/>
          <w:lang w:val="nl-NL"/>
        </w:rPr>
        <w:t xml:space="preserve"> </w:t>
      </w:r>
      <w:r>
        <w:rPr>
          <w:color w:val="000000"/>
          <w:lang w:val="nl-NL"/>
        </w:rPr>
        <w:t>Đồng thời, để đảm bảo an toàn hoạt động của Quỹ, dự thảo Nghị định bổ sung các điều kiện cho vay và đầu tư.</w:t>
      </w:r>
    </w:p>
    <w:p w:rsidR="00BC5D65" w:rsidRPr="00E9299D" w:rsidRDefault="00BC5D65" w:rsidP="00BC5D65">
      <w:pPr>
        <w:widowControl w:val="0"/>
        <w:spacing w:before="120" w:after="120" w:line="360" w:lineRule="exact"/>
        <w:ind w:firstLine="706"/>
        <w:jc w:val="both"/>
        <w:rPr>
          <w:i/>
          <w:color w:val="000000"/>
          <w:lang w:val="nl-NL"/>
        </w:rPr>
      </w:pPr>
      <w:r w:rsidRPr="00E9299D">
        <w:rPr>
          <w:i/>
          <w:color w:val="000000"/>
          <w:lang w:val="nl-NL"/>
        </w:rPr>
        <w:t>c) Về việc quản lý và chuyển nhượng vốn đầu tư</w:t>
      </w:r>
    </w:p>
    <w:p w:rsidR="00BC5D65" w:rsidRPr="00E9299D" w:rsidRDefault="00BC5D65" w:rsidP="00BC5D65">
      <w:pPr>
        <w:widowControl w:val="0"/>
        <w:spacing w:before="120" w:after="120" w:line="360" w:lineRule="exact"/>
        <w:ind w:firstLine="709"/>
        <w:jc w:val="both"/>
        <w:rPr>
          <w:color w:val="000000"/>
          <w:lang w:val="nl-NL"/>
        </w:rPr>
      </w:pPr>
      <w:r w:rsidRPr="00E9299D">
        <w:rPr>
          <w:color w:val="000000"/>
          <w:lang w:val="nl-NL"/>
        </w:rPr>
        <w:t xml:space="preserve">Trên cơ sở quy định về hình thức và lĩnh vực đầu tư nêu trên, để quản lý chặt chẽ các khoản đầu tư của Quỹ, đảm bảo an toàn hoạt động, dự thảo Nghị định quy định bổ sung về việc quản lý và chuyển nhượng vốn đầu tư như sau: </w:t>
      </w:r>
    </w:p>
    <w:p w:rsidR="00BC5D65" w:rsidRPr="00E9299D" w:rsidRDefault="00BC5D65" w:rsidP="00BC5D65">
      <w:pPr>
        <w:widowControl w:val="0"/>
        <w:spacing w:before="120" w:after="120" w:line="360" w:lineRule="exact"/>
        <w:ind w:firstLine="709"/>
        <w:jc w:val="both"/>
        <w:rPr>
          <w:color w:val="000000"/>
          <w:lang w:val="nl-NL"/>
        </w:rPr>
      </w:pPr>
      <w:r w:rsidRPr="00E9299D">
        <w:rPr>
          <w:color w:val="000000"/>
          <w:lang w:val="nl-NL"/>
        </w:rPr>
        <w:t xml:space="preserve">- Quỹ ĐTPTĐP quản lý và chuyển nhượng dự án đầu tư, phần vốn góp tại tổ chức kinh tế theo quy định của pháp luật đối với DNNN. Trong đó, </w:t>
      </w:r>
      <w:r w:rsidRPr="00E9299D">
        <w:rPr>
          <w:lang w:val="nl-NL"/>
        </w:rPr>
        <w:t>Quỹ ĐTPTĐP trích lập dự phòng rủi ro đối với hoạt động đầu tư, dự phòng các khoản phải thu khó đòi theo quy định của pháp luật đối với doanh nghiệp. Quy định này đảm bảo Quỹ trích lập đúng các rủi ro tiềm ẩn của dự án, đảm bảo an toàn hoạt động. Bên cạnh đó, để đảm bảo an toàn trong hoạt động đầu tư của Quỹ, dự thảo Nghị định quy định giới hạn đầu tư đối với tổng giá trị các khoản đầu tư, tối đa bằng 50% vốn chủ sở hữu của Quỹ.</w:t>
      </w:r>
    </w:p>
    <w:p w:rsidR="00BC5D65" w:rsidRPr="00E9299D" w:rsidRDefault="00BC5D65" w:rsidP="00BC5D65">
      <w:pPr>
        <w:widowControl w:val="0"/>
        <w:spacing w:before="120" w:after="120" w:line="360" w:lineRule="exact"/>
        <w:ind w:firstLine="709"/>
        <w:jc w:val="both"/>
        <w:rPr>
          <w:color w:val="000000"/>
          <w:lang w:val="nl-NL"/>
        </w:rPr>
      </w:pPr>
      <w:r w:rsidRPr="00E9299D">
        <w:rPr>
          <w:color w:val="000000"/>
          <w:lang w:val="nl-NL"/>
        </w:rPr>
        <w:t xml:space="preserve">- Dự thảo quy định cụ thể về thẩm quyền quyết định và chuyển nhượng dự án đầu tư, phần vốn góp tại tổ chức kinh tế (UBND cấp tỉnh quyết định khi giá trị vốn đầu tư trên 10% vốn chủ sở hữu của Quỹ). </w:t>
      </w:r>
    </w:p>
    <w:p w:rsidR="00BC5D65" w:rsidRPr="00E9299D" w:rsidRDefault="00BC5D65" w:rsidP="008917E5">
      <w:pPr>
        <w:widowControl w:val="0"/>
        <w:spacing w:before="120" w:after="120" w:line="360" w:lineRule="exact"/>
        <w:ind w:firstLine="697"/>
        <w:jc w:val="both"/>
        <w:outlineLvl w:val="0"/>
        <w:rPr>
          <w:b/>
          <w:i/>
          <w:lang w:val="pt-BR"/>
        </w:rPr>
      </w:pPr>
      <w:r w:rsidRPr="00E9299D">
        <w:rPr>
          <w:b/>
          <w:i/>
          <w:lang w:val="pt-BR"/>
        </w:rPr>
        <w:t xml:space="preserve">2.4. Nhóm chính sách về hoàn thiện cơ chế quản lý, giám sát </w:t>
      </w:r>
    </w:p>
    <w:p w:rsidR="00BC5D65" w:rsidRPr="00E9299D" w:rsidRDefault="00BC5D65" w:rsidP="00BC5D65">
      <w:pPr>
        <w:widowControl w:val="0"/>
        <w:spacing w:before="120" w:after="120" w:line="360" w:lineRule="exact"/>
        <w:ind w:firstLine="706"/>
        <w:jc w:val="both"/>
        <w:rPr>
          <w:lang w:val="nl-NL"/>
        </w:rPr>
      </w:pPr>
      <w:r w:rsidRPr="00E9299D">
        <w:rPr>
          <w:lang w:val="nl-NL"/>
        </w:rPr>
        <w:t>Thực hiện chỉ đạo của Chính phủ tại Nghị quyết số 41/NQ-CP ngày 14/6/2019 về việc "</w:t>
      </w:r>
      <w:r w:rsidRPr="00E9299D">
        <w:rPr>
          <w:i/>
          <w:lang w:val="nl-NL"/>
        </w:rPr>
        <w:t xml:space="preserve">lưu ý làm rõ trách nhiệm quản lý nhà nước của Bộ Tài chính, </w:t>
      </w:r>
      <w:r w:rsidRPr="00E9299D">
        <w:rPr>
          <w:i/>
          <w:lang w:val="nl-NL"/>
        </w:rPr>
        <w:lastRenderedPageBreak/>
        <w:t>Ngân hàng Nhà nước Việt Nam (NHNN), UBND các địa phương và các cơ quan liên quan trong quản lý, giám sát, thanh tra, kiểm tra, tổ chức hoạt động của Quỹ ĐTPTĐP nhằm nâng cao hiệu quả hoạt động và công tác quản lý, giám sát Quỹ"</w:t>
      </w:r>
      <w:r w:rsidRPr="00E9299D">
        <w:rPr>
          <w:lang w:val="nl-NL"/>
        </w:rPr>
        <w:t xml:space="preserve">, dự thảo Nghị định đã quy định cụ thể trách nhiệm quản lý, giám sát, đánh giá hiệu quả hoạt động của UBND cấp tỉnh với vai trò đại diện chủ sở hữu nhà nước </w:t>
      </w:r>
      <w:r w:rsidR="005C6171">
        <w:rPr>
          <w:lang w:val="nl-NL"/>
        </w:rPr>
        <w:t>(tại Khoản 1 Điều 3 và Khoản 1 Điều 6</w:t>
      </w:r>
      <w:r w:rsidR="00C93C36">
        <w:rPr>
          <w:lang w:val="nl-NL"/>
        </w:rPr>
        <w:t>1</w:t>
      </w:r>
      <w:r w:rsidR="005C6171">
        <w:rPr>
          <w:lang w:val="nl-NL"/>
        </w:rPr>
        <w:t xml:space="preserve">) </w:t>
      </w:r>
      <w:r w:rsidRPr="00E9299D">
        <w:rPr>
          <w:lang w:val="nl-NL"/>
        </w:rPr>
        <w:t>và trách nhiệm quản lý, giám sát của Bộ Tài chính</w:t>
      </w:r>
      <w:r w:rsidR="005C6171">
        <w:rPr>
          <w:lang w:val="nl-NL"/>
        </w:rPr>
        <w:t xml:space="preserve"> (Điều 6</w:t>
      </w:r>
      <w:r w:rsidR="00C93C36">
        <w:rPr>
          <w:lang w:val="nl-NL"/>
        </w:rPr>
        <w:t>2</w:t>
      </w:r>
      <w:r w:rsidR="005C6171">
        <w:rPr>
          <w:lang w:val="nl-NL"/>
        </w:rPr>
        <w:t>)</w:t>
      </w:r>
      <w:r w:rsidRPr="00E9299D">
        <w:rPr>
          <w:lang w:val="nl-NL"/>
        </w:rPr>
        <w:t>, NHNN</w:t>
      </w:r>
      <w:r w:rsidR="005C6171">
        <w:rPr>
          <w:lang w:val="nl-NL"/>
        </w:rPr>
        <w:t xml:space="preserve"> (Điều 6</w:t>
      </w:r>
      <w:r w:rsidR="00C93C36">
        <w:rPr>
          <w:lang w:val="nl-NL"/>
        </w:rPr>
        <w:t>3</w:t>
      </w:r>
      <w:r w:rsidR="005C6171">
        <w:rPr>
          <w:lang w:val="nl-NL"/>
        </w:rPr>
        <w:t>)</w:t>
      </w:r>
      <w:r w:rsidRPr="00E9299D">
        <w:rPr>
          <w:lang w:val="nl-NL"/>
        </w:rPr>
        <w:t xml:space="preserve"> và Bộ Lao động - Thương binh và Xã hội (</w:t>
      </w:r>
      <w:r w:rsidR="005C6171">
        <w:rPr>
          <w:lang w:val="nl-NL"/>
        </w:rPr>
        <w:t>Điều 6</w:t>
      </w:r>
      <w:r w:rsidR="00C93C36">
        <w:rPr>
          <w:lang w:val="nl-NL"/>
        </w:rPr>
        <w:t>4</w:t>
      </w:r>
      <w:r w:rsidRPr="00E9299D">
        <w:rPr>
          <w:lang w:val="nl-NL"/>
        </w:rPr>
        <w:t>) với vai trò cơ quan quản lý nhà nước.</w:t>
      </w:r>
    </w:p>
    <w:p w:rsidR="000B6D94" w:rsidRPr="00E9299D" w:rsidRDefault="00D75963" w:rsidP="008917E5">
      <w:pPr>
        <w:widowControl w:val="0"/>
        <w:spacing w:before="120" w:after="120" w:line="360" w:lineRule="exact"/>
        <w:ind w:firstLine="697"/>
        <w:jc w:val="both"/>
        <w:outlineLvl w:val="0"/>
        <w:rPr>
          <w:b/>
          <w:i/>
          <w:lang w:val="pt-BR"/>
        </w:rPr>
      </w:pPr>
      <w:r w:rsidRPr="00E9299D">
        <w:rPr>
          <w:b/>
          <w:i/>
          <w:lang w:val="pt-BR"/>
        </w:rPr>
        <w:t>2.</w:t>
      </w:r>
      <w:r w:rsidR="00BC5D65" w:rsidRPr="00E9299D">
        <w:rPr>
          <w:b/>
          <w:i/>
          <w:lang w:val="pt-BR"/>
        </w:rPr>
        <w:t>5</w:t>
      </w:r>
      <w:r w:rsidRPr="00E9299D">
        <w:rPr>
          <w:b/>
          <w:i/>
          <w:lang w:val="pt-BR"/>
        </w:rPr>
        <w:t xml:space="preserve">. </w:t>
      </w:r>
      <w:r w:rsidR="000B6D94" w:rsidRPr="00E9299D">
        <w:rPr>
          <w:b/>
          <w:i/>
          <w:lang w:val="pt-BR"/>
        </w:rPr>
        <w:t>Đối với Công ty đầu tư tài chính nhà nước thành phố Hồ Chí Minh (HFIC)</w:t>
      </w:r>
    </w:p>
    <w:p w:rsidR="00BC5D65" w:rsidRPr="00E9299D" w:rsidRDefault="00BC5D65" w:rsidP="00BC5D65">
      <w:pPr>
        <w:widowControl w:val="0"/>
        <w:spacing w:before="120" w:after="120" w:line="360" w:lineRule="exact"/>
        <w:ind w:firstLine="706"/>
        <w:jc w:val="both"/>
        <w:rPr>
          <w:lang w:val="nl-NL"/>
        </w:rPr>
      </w:pPr>
      <w:r w:rsidRPr="00E9299D">
        <w:rPr>
          <w:lang w:val="nl-NL"/>
        </w:rPr>
        <w:t>- HFIC là công ty TNHH MTV do Nhà nước sở hữu 100% vốn điều lệ, thực hiện 2 nhiệm vụ chính bao gồm: (i) chức năng Quỹ ĐTPTĐP và (ii) thí điểm thực hiện chức năng đại diện chủ sở hữu vốn nhà nước tại một số doanh nghiệp trực thuộc UBND TP. HCM. Trong giai đoạn 2016-2018, Lãnh đạo Chính phủ có các chỉ đạo về việc giao UBND TP. HCM chủ trì, phối hợp với Bộ Tài chính xây dựng Nghị định về mô hình hoạt động và cơ chế tài chính của HFIC. Về việc này, Bộ Tài chính đã có văn bản số 5055/BTC-TCNH ngày 03/5/2019 trình Thủ tướng Chính phủ cho phép rà soát các nội dung liên quan đến hoạt động của HFIC để sửa đổi, bổ sung tại Nghị định về tổ chức và hoạt động của Quỹ ĐTPTĐP</w:t>
      </w:r>
      <w:r w:rsidR="00FF4307">
        <w:rPr>
          <w:lang w:val="nl-NL"/>
        </w:rPr>
        <w:t xml:space="preserve"> và Thủ tướng Chính phủ đã có ý kiến chỉ đạo tại văn bản số 9055/VPCP-DMDN ngày 07/10/2019, theo đó Phó Thủ tướng Chính phủ Vương Đình Huệ có ý kiến: (i) Đồng ý việc UBND TP. HCM đưa vào Đề án thí điểm thành lập Cơ quan quản lý vốn nhà nước tại doanh nghiệp của TP nội dung về chấm dứt thí điểm chức năng đại diện chủ sở hữu vốn nhà nước tại doanh nghiệp của HFIC; (ii) Bộ Tài chính phối hợp với UBND TP. HCM và các cơ quan liên quan rà soát các nội dung liên quan đến hoạt động của HFIC để sửa đổi, bổ sung Nghị định về tổ chức và hoạt động của Quỹ ĐTPTĐP, trình Chính phủ ban hành. Thực hiện chỉ đạo của Phó Thủ tướng Chính phủ, UBND TP. HCM hiện đang rà soát và </w:t>
      </w:r>
      <w:r w:rsidR="00FF4307" w:rsidRPr="003439FD">
        <w:rPr>
          <w:lang w:val="nl-NL"/>
        </w:rPr>
        <w:t>trình Thủ tướng Chính phủ, Chính phủ xem xét Đề án thí điểm thành lập Cơ quan quản lý vốn nhà nước tại doanh nghiệp của TP theo hướng chấm dứt thí điểm chức năng đại diện chủ sở hữu vốn nhà nước tại doanh nghiệp của HFIC.</w:t>
      </w:r>
    </w:p>
    <w:p w:rsidR="00F7043A" w:rsidRDefault="00BC5D65" w:rsidP="00BC5D65">
      <w:pPr>
        <w:widowControl w:val="0"/>
        <w:spacing w:before="120" w:after="120" w:line="360" w:lineRule="exact"/>
        <w:ind w:firstLine="706"/>
        <w:jc w:val="both"/>
        <w:rPr>
          <w:lang w:val="nl-NL"/>
        </w:rPr>
      </w:pPr>
      <w:r w:rsidRPr="00E9299D">
        <w:rPr>
          <w:lang w:val="nl-NL"/>
        </w:rPr>
        <w:t xml:space="preserve">- Về chức năng nhiệm vụ của HFIC, trên cơ sở đề xuất của UBND TP. HCM về việc chấm dứt thí điểm chức năng đại diện chủ sở hữu vốn nhà nước tại HFIC và ý kiến chỉ đạo của Phó Thủ tướng Chính phủ Vương Đình Huệ nêu trên, dự kiến trong thời gian tới, HFIC không thực hiện chức năng đại diện chủ sở hữu vốn nhà nước tại các doanh nghiệp trực thuộc UBND TP. HCM, chỉ còn thực hiện chức năng Quỹ ĐTPTĐP, bao gồm cho vay, đầu tư, ủy thác và nhận ủy thác vốn. Ngoài ra, về mô hình tổ chức, do hiện nay HFIC là công ty TNHH </w:t>
      </w:r>
      <w:r w:rsidRPr="00E9299D">
        <w:rPr>
          <w:lang w:val="nl-NL"/>
        </w:rPr>
        <w:lastRenderedPageBreak/>
        <w:t xml:space="preserve">MTV do Nhà nước sở hữu 100% vốn điều lệ nên HFIC hoạt động theo quy định của pháp luật đối với doanh nghiệp Nhà nước (Luật </w:t>
      </w:r>
      <w:r w:rsidR="00FF4307">
        <w:rPr>
          <w:lang w:val="nl-NL"/>
        </w:rPr>
        <w:t>Quản lý, sử dụng vốn Nhà nước đầu tư vào sản xuất, kinh doanh tại doanh nghiệp</w:t>
      </w:r>
      <w:r w:rsidRPr="00E9299D">
        <w:rPr>
          <w:lang w:val="nl-NL"/>
        </w:rPr>
        <w:t xml:space="preserve"> và các Nghị định hướng dẫn). </w:t>
      </w:r>
    </w:p>
    <w:p w:rsidR="00BC5D65" w:rsidRPr="00E9299D" w:rsidRDefault="00F7043A" w:rsidP="00BC5D65">
      <w:pPr>
        <w:widowControl w:val="0"/>
        <w:spacing w:before="120" w:after="120" w:line="360" w:lineRule="exact"/>
        <w:ind w:firstLine="706"/>
        <w:jc w:val="both"/>
        <w:rPr>
          <w:color w:val="000000"/>
          <w:lang w:val="nl-NL"/>
        </w:rPr>
      </w:pPr>
      <w:r>
        <w:rPr>
          <w:lang w:val="nl-NL"/>
        </w:rPr>
        <w:t xml:space="preserve">- </w:t>
      </w:r>
      <w:r w:rsidR="00BC5D65" w:rsidRPr="00E9299D">
        <w:rPr>
          <w:lang w:val="nl-NL"/>
        </w:rPr>
        <w:t>Căn cứ đặc thù về mô hình tổ chức và chức năng nhiệm vụ nêu trên của HFIC, dự thảo Nghị định quy định theo hướng: (i) c</w:t>
      </w:r>
      <w:r w:rsidR="00BC5D65" w:rsidRPr="00200427">
        <w:rPr>
          <w:color w:val="000000"/>
          <w:lang w:val="nl-NL"/>
        </w:rPr>
        <w:t>ác hoạt động huy động vốn, cho vay, đầu tư</w:t>
      </w:r>
      <w:r w:rsidR="00BC5D65" w:rsidRPr="00E9299D">
        <w:rPr>
          <w:color w:val="000000"/>
          <w:lang w:val="nl-NL"/>
        </w:rPr>
        <w:t>, ủy thác</w:t>
      </w:r>
      <w:r w:rsidR="00BC5D65" w:rsidRPr="00200427">
        <w:rPr>
          <w:color w:val="000000"/>
          <w:lang w:val="nl-NL"/>
        </w:rPr>
        <w:t xml:space="preserve"> và </w:t>
      </w:r>
      <w:r w:rsidR="00BC5D65" w:rsidRPr="00E9299D">
        <w:rPr>
          <w:color w:val="000000"/>
          <w:lang w:val="nl-NL"/>
        </w:rPr>
        <w:t xml:space="preserve">nhận ủy thác </w:t>
      </w:r>
      <w:r w:rsidR="00BC5D65" w:rsidRPr="00200427">
        <w:rPr>
          <w:color w:val="000000"/>
          <w:lang w:val="nl-NL"/>
        </w:rPr>
        <w:t xml:space="preserve">theo chức năng Quỹ </w:t>
      </w:r>
      <w:r w:rsidR="00BC5D65" w:rsidRPr="00E9299D">
        <w:rPr>
          <w:color w:val="000000"/>
          <w:lang w:val="nl-NL"/>
        </w:rPr>
        <w:t>ĐTPTĐP</w:t>
      </w:r>
      <w:r w:rsidR="00BC5D65" w:rsidRPr="00200427">
        <w:rPr>
          <w:color w:val="000000"/>
          <w:lang w:val="nl-NL"/>
        </w:rPr>
        <w:t xml:space="preserve"> của </w:t>
      </w:r>
      <w:r w:rsidR="00BC5D65" w:rsidRPr="00E9299D">
        <w:rPr>
          <w:color w:val="000000"/>
          <w:lang w:val="nl-NL"/>
        </w:rPr>
        <w:t>HFIC</w:t>
      </w:r>
      <w:r w:rsidR="00BC5D65" w:rsidRPr="00200427">
        <w:rPr>
          <w:color w:val="000000"/>
          <w:lang w:val="nl-NL"/>
        </w:rPr>
        <w:t xml:space="preserve"> thực hiện theo quy định </w:t>
      </w:r>
      <w:r w:rsidR="00BC5D65" w:rsidRPr="00E9299D">
        <w:rPr>
          <w:color w:val="000000"/>
          <w:lang w:val="nl-NL"/>
        </w:rPr>
        <w:t>tại Nghị định này (tương tự như quy định hiện hành tại Nghị định số 37)</w:t>
      </w:r>
      <w:r w:rsidR="00BC5D65" w:rsidRPr="00200427">
        <w:rPr>
          <w:color w:val="000000"/>
          <w:lang w:val="nl-NL"/>
        </w:rPr>
        <w:t xml:space="preserve">; (ii) </w:t>
      </w:r>
      <w:r w:rsidR="00BC5D65" w:rsidRPr="00E9299D">
        <w:rPr>
          <w:color w:val="000000"/>
          <w:lang w:val="nl-NL"/>
        </w:rPr>
        <w:t>các hoạt động khác của HFIC thực hiện theo quy định của pháp luật đối với doanh nghiệp nhà nước (theo đó, cơ chế tài chính, quản lý giám sát, đánh giá hiệu quả hoạt động và công bố, công khai thông tin của HFIC thực hiện theo quy định của pháp luật đối với doanh nghiệp nhà nước</w:t>
      </w:r>
      <w:r w:rsidR="00547879">
        <w:rPr>
          <w:color w:val="000000"/>
          <w:lang w:val="nl-NL"/>
        </w:rPr>
        <w:t xml:space="preserve"> và hướng dẫn của Bộ Tài chính</w:t>
      </w:r>
      <w:r w:rsidR="00BC5D65" w:rsidRPr="00E9299D">
        <w:rPr>
          <w:color w:val="000000"/>
          <w:lang w:val="nl-NL"/>
        </w:rPr>
        <w:t>)</w:t>
      </w:r>
      <w:r w:rsidR="00BC5D65" w:rsidRPr="00200427">
        <w:rPr>
          <w:color w:val="000000"/>
          <w:lang w:val="nl-NL"/>
        </w:rPr>
        <w:t>.</w:t>
      </w:r>
      <w:r w:rsidR="00BC5D65" w:rsidRPr="00E9299D">
        <w:rPr>
          <w:color w:val="000000"/>
          <w:lang w:val="nl-NL"/>
        </w:rPr>
        <w:t xml:space="preserve"> Quy định này tương tự như quy định hiện hành mà HFIC đang triển khai, thực hiện. Do đó, dự kiến sau khi Nghị định có hiệu lực thi hành, </w:t>
      </w:r>
      <w:r>
        <w:rPr>
          <w:color w:val="000000"/>
          <w:lang w:val="nl-NL"/>
        </w:rPr>
        <w:t>HFIC tiếp tục duy trì được chức năng huy động vốn, cho vay, đầu tư các dự án kết cấu hạ tầng kinh tế - xã hội tại thành phố Hồ Chí Minh</w:t>
      </w:r>
      <w:r w:rsidR="00BC5D65" w:rsidRPr="00E9299D">
        <w:rPr>
          <w:color w:val="000000"/>
          <w:lang w:val="nl-NL"/>
        </w:rPr>
        <w:t>.</w:t>
      </w:r>
    </w:p>
    <w:p w:rsidR="00BE0D37" w:rsidRPr="00E9299D" w:rsidRDefault="00BE0D37" w:rsidP="008917E5">
      <w:pPr>
        <w:widowControl w:val="0"/>
        <w:spacing w:before="120" w:after="120" w:line="360" w:lineRule="exact"/>
        <w:ind w:firstLine="709"/>
        <w:jc w:val="both"/>
        <w:outlineLvl w:val="0"/>
        <w:rPr>
          <w:b/>
          <w:lang w:val="nl-NL"/>
        </w:rPr>
      </w:pPr>
      <w:r w:rsidRPr="00E9299D">
        <w:rPr>
          <w:b/>
          <w:lang w:val="nl-NL"/>
        </w:rPr>
        <w:t>V. Ý kiến thẩm định của Bộ Tư pháp</w:t>
      </w:r>
    </w:p>
    <w:p w:rsidR="00BE0D37" w:rsidRPr="00E9299D" w:rsidRDefault="00BE0D37" w:rsidP="008917E5">
      <w:pPr>
        <w:widowControl w:val="0"/>
        <w:spacing w:before="120" w:after="120" w:line="360" w:lineRule="exact"/>
        <w:ind w:firstLine="709"/>
        <w:jc w:val="both"/>
        <w:outlineLvl w:val="0"/>
        <w:rPr>
          <w:lang w:val="nl-NL"/>
        </w:rPr>
      </w:pPr>
    </w:p>
    <w:p w:rsidR="00A15A4B" w:rsidRPr="00E9299D" w:rsidRDefault="00C069DC" w:rsidP="008917E5">
      <w:pPr>
        <w:widowControl w:val="0"/>
        <w:spacing w:before="120" w:after="120" w:line="360" w:lineRule="exact"/>
        <w:ind w:firstLine="697"/>
        <w:jc w:val="both"/>
        <w:outlineLvl w:val="0"/>
        <w:rPr>
          <w:lang w:val="pt-BR"/>
        </w:rPr>
      </w:pPr>
      <w:r w:rsidRPr="00E9299D">
        <w:rPr>
          <w:lang w:val="pt-BR"/>
        </w:rPr>
        <w:t xml:space="preserve">Trên đây là Tờ trình </w:t>
      </w:r>
      <w:r w:rsidR="00EC1ABD" w:rsidRPr="00E9299D">
        <w:rPr>
          <w:lang w:val="pt-BR"/>
        </w:rPr>
        <w:t>về dự thảo</w:t>
      </w:r>
      <w:r w:rsidRPr="00E9299D">
        <w:rPr>
          <w:lang w:val="pt-BR"/>
        </w:rPr>
        <w:t xml:space="preserve"> Nghị định của Chính phủ về tổ chức và hoạt động của Quỹ đầu tư phát triển địa phương, Bộ Tài chính xin kính trình Chính phủ xem xét, quyết định.</w:t>
      </w:r>
      <w:r w:rsidR="00EC1ABD" w:rsidRPr="00E9299D">
        <w:rPr>
          <w:lang w:val="pt-BR"/>
        </w:rPr>
        <w:t>/.</w:t>
      </w:r>
    </w:p>
    <w:p w:rsidR="00EC1ABD" w:rsidRPr="00E9299D" w:rsidRDefault="00EC1ABD" w:rsidP="008917E5">
      <w:pPr>
        <w:widowControl w:val="0"/>
        <w:spacing w:before="120" w:after="120" w:line="360" w:lineRule="exact"/>
        <w:ind w:firstLine="692"/>
        <w:jc w:val="both"/>
        <w:outlineLvl w:val="0"/>
        <w:rPr>
          <w:i/>
          <w:lang w:val="pt-BR"/>
        </w:rPr>
      </w:pPr>
      <w:r w:rsidRPr="00E9299D">
        <w:rPr>
          <w:i/>
          <w:lang w:val="pt-BR"/>
        </w:rPr>
        <w:t>(Xin gửi kèm theo:</w:t>
      </w:r>
    </w:p>
    <w:p w:rsidR="00A15A4B" w:rsidRPr="00E9299D" w:rsidRDefault="00EC1ABD" w:rsidP="008917E5">
      <w:pPr>
        <w:widowControl w:val="0"/>
        <w:spacing w:before="120" w:after="120" w:line="360" w:lineRule="exact"/>
        <w:ind w:firstLine="697"/>
        <w:jc w:val="both"/>
        <w:outlineLvl w:val="0"/>
        <w:rPr>
          <w:i/>
          <w:lang w:val="pt-BR"/>
        </w:rPr>
      </w:pPr>
      <w:r w:rsidRPr="00E9299D">
        <w:rPr>
          <w:i/>
          <w:lang w:val="pt-BR"/>
        </w:rPr>
        <w:t>- Dự thảo Nghị định</w:t>
      </w:r>
      <w:r w:rsidR="00C069DC" w:rsidRPr="00E9299D">
        <w:rPr>
          <w:i/>
          <w:lang w:val="pt-BR"/>
        </w:rPr>
        <w:t>;</w:t>
      </w:r>
    </w:p>
    <w:p w:rsidR="00A15A4B" w:rsidRPr="00E9299D" w:rsidRDefault="00C069DC" w:rsidP="008917E5">
      <w:pPr>
        <w:widowControl w:val="0"/>
        <w:spacing w:before="120" w:after="120" w:line="360" w:lineRule="exact"/>
        <w:ind w:firstLine="697"/>
        <w:jc w:val="both"/>
        <w:outlineLvl w:val="0"/>
        <w:rPr>
          <w:i/>
          <w:lang w:val="pt-BR"/>
        </w:rPr>
      </w:pPr>
      <w:r w:rsidRPr="00E9299D">
        <w:rPr>
          <w:i/>
          <w:lang w:val="pt-BR"/>
        </w:rPr>
        <w:t>- Tổng hợp ý kiến tham gia của các Bộ, ngành;</w:t>
      </w:r>
    </w:p>
    <w:p w:rsidR="00A15A4B" w:rsidRPr="00E9299D" w:rsidRDefault="00EC1ABD" w:rsidP="008917E5">
      <w:pPr>
        <w:widowControl w:val="0"/>
        <w:spacing w:before="120" w:after="120" w:line="360" w:lineRule="exact"/>
        <w:ind w:firstLine="697"/>
        <w:jc w:val="both"/>
        <w:outlineLvl w:val="0"/>
        <w:rPr>
          <w:i/>
          <w:lang w:val="pt-BR"/>
        </w:rPr>
      </w:pPr>
      <w:r w:rsidRPr="00E9299D">
        <w:rPr>
          <w:i/>
          <w:lang w:val="pt-BR"/>
        </w:rPr>
        <w:t>- Báo cáo giải trình, tiếp thu ý kiến thẩm định của Bộ Tư pháp)</w:t>
      </w:r>
    </w:p>
    <w:p w:rsidR="00A15A4B" w:rsidRPr="00E9299D" w:rsidRDefault="00A15A4B" w:rsidP="00EC1ABD">
      <w:pPr>
        <w:widowControl w:val="0"/>
        <w:spacing w:before="120" w:after="120" w:line="360" w:lineRule="atLeast"/>
        <w:ind w:firstLine="697"/>
        <w:jc w:val="both"/>
        <w:rPr>
          <w:lang w:val="af-ZA"/>
        </w:rPr>
      </w:pPr>
    </w:p>
    <w:tbl>
      <w:tblPr>
        <w:tblW w:w="8605" w:type="dxa"/>
        <w:tblInd w:w="250" w:type="dxa"/>
        <w:tblLayout w:type="fixed"/>
        <w:tblLook w:val="0000"/>
      </w:tblPr>
      <w:tblGrid>
        <w:gridCol w:w="5245"/>
        <w:gridCol w:w="3360"/>
      </w:tblGrid>
      <w:tr w:rsidR="00A30788" w:rsidRPr="00DD7403" w:rsidTr="00074ABF">
        <w:tc>
          <w:tcPr>
            <w:tcW w:w="5245" w:type="dxa"/>
          </w:tcPr>
          <w:p w:rsidR="00A30788" w:rsidRPr="00E9299D" w:rsidRDefault="00A30788" w:rsidP="00A47687">
            <w:pPr>
              <w:widowControl w:val="0"/>
              <w:rPr>
                <w:b/>
                <w:i/>
                <w:sz w:val="22"/>
                <w:szCs w:val="22"/>
                <w:lang w:val="af-ZA"/>
              </w:rPr>
            </w:pPr>
            <w:r w:rsidRPr="00E9299D">
              <w:rPr>
                <w:b/>
                <w:i/>
                <w:sz w:val="24"/>
                <w:szCs w:val="22"/>
                <w:lang w:val="af-ZA"/>
              </w:rPr>
              <w:t>Nơi nhận:</w:t>
            </w:r>
          </w:p>
          <w:p w:rsidR="00EA59DF" w:rsidRPr="00E9299D" w:rsidRDefault="00EA59DF" w:rsidP="00A47687">
            <w:pPr>
              <w:widowControl w:val="0"/>
              <w:rPr>
                <w:sz w:val="22"/>
                <w:szCs w:val="22"/>
                <w:lang w:val="af-ZA"/>
              </w:rPr>
            </w:pPr>
            <w:r w:rsidRPr="00E9299D">
              <w:rPr>
                <w:sz w:val="22"/>
                <w:szCs w:val="22"/>
                <w:lang w:val="af-ZA"/>
              </w:rPr>
              <w:t>- Như trên;</w:t>
            </w:r>
          </w:p>
          <w:p w:rsidR="00A30788" w:rsidRPr="00E9299D" w:rsidRDefault="00A30788" w:rsidP="00A47687">
            <w:pPr>
              <w:widowControl w:val="0"/>
              <w:rPr>
                <w:sz w:val="22"/>
                <w:szCs w:val="22"/>
                <w:lang w:val="af-ZA"/>
              </w:rPr>
            </w:pPr>
            <w:r w:rsidRPr="00E9299D">
              <w:rPr>
                <w:sz w:val="22"/>
                <w:szCs w:val="22"/>
                <w:lang w:val="af-ZA"/>
              </w:rPr>
              <w:t>- Thủ tướng Chính phủ;</w:t>
            </w:r>
          </w:p>
          <w:p w:rsidR="00A30788" w:rsidRPr="00E9299D" w:rsidRDefault="00A30788" w:rsidP="00A47687">
            <w:pPr>
              <w:widowControl w:val="0"/>
              <w:rPr>
                <w:sz w:val="22"/>
                <w:szCs w:val="22"/>
                <w:lang w:val="af-ZA"/>
              </w:rPr>
            </w:pPr>
            <w:r w:rsidRPr="00E9299D">
              <w:rPr>
                <w:sz w:val="22"/>
                <w:szCs w:val="22"/>
                <w:lang w:val="af-ZA"/>
              </w:rPr>
              <w:t>- Văn phòng Chính phủ;</w:t>
            </w:r>
          </w:p>
          <w:p w:rsidR="00A30788" w:rsidRPr="00E9299D" w:rsidRDefault="00A30788" w:rsidP="00A47687">
            <w:pPr>
              <w:widowControl w:val="0"/>
              <w:rPr>
                <w:sz w:val="22"/>
                <w:szCs w:val="22"/>
                <w:lang w:val="af-ZA"/>
              </w:rPr>
            </w:pPr>
            <w:r w:rsidRPr="00E9299D">
              <w:rPr>
                <w:sz w:val="22"/>
                <w:szCs w:val="22"/>
                <w:lang w:val="af-ZA"/>
              </w:rPr>
              <w:t>- Bộ Tư pháp;</w:t>
            </w:r>
          </w:p>
          <w:p w:rsidR="00E00064" w:rsidRPr="00E9299D" w:rsidRDefault="00A30788">
            <w:pPr>
              <w:widowControl w:val="0"/>
              <w:rPr>
                <w:b/>
                <w:i/>
                <w:sz w:val="22"/>
                <w:szCs w:val="22"/>
                <w:lang w:val="af-ZA"/>
              </w:rPr>
            </w:pPr>
            <w:r w:rsidRPr="00E9299D">
              <w:rPr>
                <w:sz w:val="22"/>
                <w:szCs w:val="22"/>
                <w:lang w:val="af-ZA"/>
              </w:rPr>
              <w:t>- Lưu: VT, Vụ TCNH</w:t>
            </w:r>
            <w:r w:rsidR="007076E8" w:rsidRPr="00E9299D">
              <w:rPr>
                <w:sz w:val="22"/>
                <w:szCs w:val="22"/>
                <w:lang w:val="af-ZA"/>
              </w:rPr>
              <w:t xml:space="preserve"> </w:t>
            </w:r>
            <w:r w:rsidR="007076E8" w:rsidRPr="00E9299D">
              <w:rPr>
                <w:sz w:val="22"/>
                <w:szCs w:val="22"/>
                <w:vertAlign w:val="subscript"/>
                <w:lang w:val="af-ZA"/>
              </w:rPr>
              <w:t>(</w:t>
            </w:r>
            <w:r w:rsidR="00B774C2" w:rsidRPr="00E9299D">
              <w:rPr>
                <w:sz w:val="22"/>
                <w:szCs w:val="22"/>
                <w:vertAlign w:val="subscript"/>
                <w:lang w:val="af-ZA"/>
              </w:rPr>
              <w:t xml:space="preserve">    </w:t>
            </w:r>
            <w:r w:rsidR="007076E8" w:rsidRPr="00E9299D">
              <w:rPr>
                <w:sz w:val="22"/>
                <w:szCs w:val="22"/>
                <w:vertAlign w:val="subscript"/>
                <w:lang w:val="af-ZA"/>
              </w:rPr>
              <w:t>b)</w:t>
            </w:r>
          </w:p>
        </w:tc>
        <w:tc>
          <w:tcPr>
            <w:tcW w:w="3360" w:type="dxa"/>
          </w:tcPr>
          <w:p w:rsidR="006552AF" w:rsidRPr="00E9299D" w:rsidRDefault="006552AF" w:rsidP="00A47687">
            <w:pPr>
              <w:widowControl w:val="0"/>
              <w:jc w:val="center"/>
              <w:rPr>
                <w:b/>
                <w:lang w:val="af-ZA"/>
              </w:rPr>
            </w:pPr>
            <w:r w:rsidRPr="00E9299D">
              <w:rPr>
                <w:b/>
                <w:lang w:val="af-ZA"/>
              </w:rPr>
              <w:t>BỘ TRƯỞNG</w:t>
            </w:r>
          </w:p>
          <w:p w:rsidR="006552AF" w:rsidRPr="00E9299D" w:rsidRDefault="006552AF" w:rsidP="00A47687">
            <w:pPr>
              <w:widowControl w:val="0"/>
              <w:jc w:val="center"/>
              <w:rPr>
                <w:b/>
                <w:lang w:val="af-ZA"/>
              </w:rPr>
            </w:pPr>
          </w:p>
          <w:p w:rsidR="006552AF" w:rsidRPr="00E9299D" w:rsidRDefault="006552AF" w:rsidP="00A47687">
            <w:pPr>
              <w:widowControl w:val="0"/>
              <w:jc w:val="center"/>
              <w:rPr>
                <w:b/>
                <w:kern w:val="32"/>
                <w:lang w:val="af-ZA"/>
              </w:rPr>
            </w:pPr>
          </w:p>
          <w:p w:rsidR="006552AF" w:rsidRPr="00E9299D" w:rsidRDefault="006552AF" w:rsidP="00A47687">
            <w:pPr>
              <w:keepNext/>
              <w:widowControl w:val="0"/>
              <w:spacing w:before="240" w:after="60"/>
              <w:jc w:val="center"/>
              <w:outlineLvl w:val="0"/>
              <w:rPr>
                <w:b/>
                <w:sz w:val="40"/>
                <w:lang w:val="af-ZA"/>
              </w:rPr>
            </w:pPr>
          </w:p>
          <w:p w:rsidR="00E00064" w:rsidRPr="00E9299D" w:rsidRDefault="00C52732">
            <w:pPr>
              <w:widowControl w:val="0"/>
              <w:jc w:val="center"/>
              <w:rPr>
                <w:b/>
                <w:lang w:val="af-ZA"/>
              </w:rPr>
            </w:pPr>
            <w:r w:rsidRPr="00E9299D">
              <w:rPr>
                <w:b/>
                <w:lang w:val="af-ZA"/>
              </w:rPr>
              <w:t>Đinh Tiến Dũng</w:t>
            </w:r>
          </w:p>
        </w:tc>
      </w:tr>
    </w:tbl>
    <w:p w:rsidR="0011240F" w:rsidRPr="00E9299D" w:rsidRDefault="0011240F" w:rsidP="00A47687">
      <w:pPr>
        <w:widowControl w:val="0"/>
        <w:spacing w:before="120" w:after="120" w:line="360" w:lineRule="exact"/>
        <w:ind w:firstLine="720"/>
        <w:jc w:val="both"/>
        <w:rPr>
          <w:lang w:val="vi-VN"/>
        </w:rPr>
      </w:pPr>
    </w:p>
    <w:p w:rsidR="0016794B" w:rsidRPr="00E9299D" w:rsidRDefault="0016794B">
      <w:pPr>
        <w:rPr>
          <w:lang w:val="af-ZA"/>
        </w:rPr>
      </w:pPr>
    </w:p>
    <w:sectPr w:rsidR="0016794B" w:rsidRPr="00E9299D" w:rsidSect="00A17D58">
      <w:footerReference w:type="even" r:id="rId8"/>
      <w:footerReference w:type="default" r:id="rId9"/>
      <w:pgSz w:w="11907" w:h="16840" w:code="9"/>
      <w:pgMar w:top="1134" w:right="1134" w:bottom="1134" w:left="1701" w:header="720" w:footer="21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499" w:rsidRDefault="00825499">
      <w:r>
        <w:separator/>
      </w:r>
    </w:p>
  </w:endnote>
  <w:endnote w:type="continuationSeparator" w:id="1">
    <w:p w:rsidR="00825499" w:rsidRDefault="008254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EF" w:rsidRDefault="00B87BEE" w:rsidP="00C72402">
    <w:pPr>
      <w:pStyle w:val="Footer"/>
      <w:framePr w:wrap="around" w:vAnchor="text" w:hAnchor="margin" w:xAlign="center" w:y="1"/>
      <w:rPr>
        <w:rStyle w:val="PageNumber"/>
      </w:rPr>
    </w:pPr>
    <w:r>
      <w:rPr>
        <w:rStyle w:val="PageNumber"/>
      </w:rPr>
      <w:fldChar w:fldCharType="begin"/>
    </w:r>
    <w:r w:rsidR="007973EF">
      <w:rPr>
        <w:rStyle w:val="PageNumber"/>
      </w:rPr>
      <w:instrText xml:space="preserve">PAGE  </w:instrText>
    </w:r>
    <w:r>
      <w:rPr>
        <w:rStyle w:val="PageNumber"/>
      </w:rPr>
      <w:fldChar w:fldCharType="end"/>
    </w:r>
  </w:p>
  <w:p w:rsidR="007973EF" w:rsidRDefault="007973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EF" w:rsidRPr="0054177E" w:rsidRDefault="00B87BEE">
    <w:pPr>
      <w:pStyle w:val="Footer"/>
      <w:jc w:val="right"/>
      <w:rPr>
        <w:sz w:val="24"/>
        <w:szCs w:val="24"/>
      </w:rPr>
    </w:pPr>
    <w:r w:rsidRPr="0054177E">
      <w:rPr>
        <w:sz w:val="24"/>
        <w:szCs w:val="24"/>
      </w:rPr>
      <w:fldChar w:fldCharType="begin"/>
    </w:r>
    <w:r w:rsidR="007973EF" w:rsidRPr="0054177E">
      <w:rPr>
        <w:sz w:val="24"/>
        <w:szCs w:val="24"/>
      </w:rPr>
      <w:instrText xml:space="preserve"> PAGE   \* MERGEFORMAT </w:instrText>
    </w:r>
    <w:r w:rsidRPr="0054177E">
      <w:rPr>
        <w:sz w:val="24"/>
        <w:szCs w:val="24"/>
      </w:rPr>
      <w:fldChar w:fldCharType="separate"/>
    </w:r>
    <w:r w:rsidR="00DD7403">
      <w:rPr>
        <w:noProof/>
        <w:sz w:val="24"/>
        <w:szCs w:val="24"/>
      </w:rPr>
      <w:t>2</w:t>
    </w:r>
    <w:r w:rsidRPr="0054177E">
      <w:rPr>
        <w:sz w:val="24"/>
        <w:szCs w:val="24"/>
      </w:rPr>
      <w:fldChar w:fldCharType="end"/>
    </w:r>
  </w:p>
  <w:p w:rsidR="007973EF" w:rsidRDefault="00797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499" w:rsidRDefault="00825499">
      <w:r>
        <w:separator/>
      </w:r>
    </w:p>
  </w:footnote>
  <w:footnote w:type="continuationSeparator" w:id="1">
    <w:p w:rsidR="00825499" w:rsidRDefault="008254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20A0"/>
    <w:multiLevelType w:val="hybridMultilevel"/>
    <w:tmpl w:val="1F381BE2"/>
    <w:lvl w:ilvl="0" w:tplc="7EF8627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5F0C8C"/>
    <w:multiLevelType w:val="hybridMultilevel"/>
    <w:tmpl w:val="4810134A"/>
    <w:lvl w:ilvl="0" w:tplc="F7843E8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D62AC7"/>
    <w:multiLevelType w:val="hybridMultilevel"/>
    <w:tmpl w:val="66EE2A9E"/>
    <w:lvl w:ilvl="0" w:tplc="27BCE0EC">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
    <w:nsid w:val="374B0529"/>
    <w:multiLevelType w:val="hybridMultilevel"/>
    <w:tmpl w:val="7472CFB8"/>
    <w:lvl w:ilvl="0" w:tplc="624C7910">
      <w:start w:val="1"/>
      <w:numFmt w:val="decimal"/>
      <w:lvlText w:val="%1."/>
      <w:lvlJc w:val="left"/>
      <w:pPr>
        <w:ind w:left="1657" w:hanging="960"/>
      </w:pPr>
      <w:rPr>
        <w:rFonts w:ascii="Times New Roman" w:eastAsia="Times New Roman" w:hAnsi="Times New Roman" w:cs="Times New Roman"/>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
    <w:nsid w:val="3B1F47EA"/>
    <w:multiLevelType w:val="hybridMultilevel"/>
    <w:tmpl w:val="86AE689E"/>
    <w:lvl w:ilvl="0" w:tplc="AE44DD9E">
      <w:start w:val="1"/>
      <w:numFmt w:val="lowerRoman"/>
      <w:lvlText w:val="(%1)"/>
      <w:lvlJc w:val="left"/>
      <w:pPr>
        <w:ind w:left="979" w:hanging="72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5">
    <w:nsid w:val="3FF72A55"/>
    <w:multiLevelType w:val="hybridMultilevel"/>
    <w:tmpl w:val="9FF28FB6"/>
    <w:lvl w:ilvl="0" w:tplc="CD88503E">
      <w:start w:val="1"/>
      <w:numFmt w:val="decimal"/>
      <w:lvlText w:val="%1."/>
      <w:lvlJc w:val="left"/>
      <w:pPr>
        <w:ind w:left="1657" w:hanging="960"/>
      </w:pPr>
      <w:rPr>
        <w:rFonts w:ascii="Times New Roman" w:eastAsia="Times New Roman" w:hAnsi="Times New Roman" w:cs="Times New Roman"/>
        <w:b/>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nsid w:val="72655658"/>
    <w:multiLevelType w:val="hybridMultilevel"/>
    <w:tmpl w:val="6816A7D8"/>
    <w:lvl w:ilvl="0" w:tplc="B876FC38">
      <w:start w:val="1"/>
      <w:numFmt w:val="lowerRoman"/>
      <w:lvlText w:val="(%1)"/>
      <w:lvlJc w:val="left"/>
      <w:pPr>
        <w:ind w:left="720" w:hanging="360"/>
      </w:pPr>
      <w:rPr>
        <w:rFonts w:ascii="Times New Roman" w:eastAsiaTheme="minorHAnsi" w:hAnsi="Times New Roman" w:cs="Times New Roman"/>
        <w:color w:val="808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983866"/>
    <w:multiLevelType w:val="multilevel"/>
    <w:tmpl w:val="B35EC4C2"/>
    <w:lvl w:ilvl="0">
      <w:start w:val="1"/>
      <w:numFmt w:val="decimal"/>
      <w:lvlText w:val="%1"/>
      <w:lvlJc w:val="left"/>
      <w:pPr>
        <w:ind w:left="375" w:hanging="375"/>
      </w:pPr>
      <w:rPr>
        <w:rFonts w:hint="default"/>
      </w:rPr>
    </w:lvl>
    <w:lvl w:ilvl="1">
      <w:start w:val="1"/>
      <w:numFmt w:val="decimal"/>
      <w:lvlText w:val="%1.%2"/>
      <w:lvlJc w:val="left"/>
      <w:pPr>
        <w:ind w:left="1072" w:hanging="375"/>
      </w:pPr>
      <w:rPr>
        <w:rFonts w:hint="default"/>
      </w:rPr>
    </w:lvl>
    <w:lvl w:ilvl="2">
      <w:start w:val="1"/>
      <w:numFmt w:val="decimal"/>
      <w:lvlText w:val="%1.%2.%3"/>
      <w:lvlJc w:val="left"/>
      <w:pPr>
        <w:ind w:left="2114" w:hanging="720"/>
      </w:pPr>
      <w:rPr>
        <w:rFonts w:hint="default"/>
      </w:rPr>
    </w:lvl>
    <w:lvl w:ilvl="3">
      <w:start w:val="1"/>
      <w:numFmt w:val="decimal"/>
      <w:lvlText w:val="%1.%2.%3.%4"/>
      <w:lvlJc w:val="left"/>
      <w:pPr>
        <w:ind w:left="3171" w:hanging="1080"/>
      </w:pPr>
      <w:rPr>
        <w:rFonts w:hint="default"/>
      </w:rPr>
    </w:lvl>
    <w:lvl w:ilvl="4">
      <w:start w:val="1"/>
      <w:numFmt w:val="decimal"/>
      <w:lvlText w:val="%1.%2.%3.%4.%5"/>
      <w:lvlJc w:val="left"/>
      <w:pPr>
        <w:ind w:left="3868" w:hanging="1080"/>
      </w:pPr>
      <w:rPr>
        <w:rFonts w:hint="default"/>
      </w:rPr>
    </w:lvl>
    <w:lvl w:ilvl="5">
      <w:start w:val="1"/>
      <w:numFmt w:val="decimal"/>
      <w:lvlText w:val="%1.%2.%3.%4.%5.%6"/>
      <w:lvlJc w:val="left"/>
      <w:pPr>
        <w:ind w:left="4925" w:hanging="1440"/>
      </w:pPr>
      <w:rPr>
        <w:rFonts w:hint="default"/>
      </w:rPr>
    </w:lvl>
    <w:lvl w:ilvl="6">
      <w:start w:val="1"/>
      <w:numFmt w:val="decimal"/>
      <w:lvlText w:val="%1.%2.%3.%4.%5.%6.%7"/>
      <w:lvlJc w:val="left"/>
      <w:pPr>
        <w:ind w:left="5622" w:hanging="1440"/>
      </w:pPr>
      <w:rPr>
        <w:rFonts w:hint="default"/>
      </w:rPr>
    </w:lvl>
    <w:lvl w:ilvl="7">
      <w:start w:val="1"/>
      <w:numFmt w:val="decimal"/>
      <w:lvlText w:val="%1.%2.%3.%4.%5.%6.%7.%8"/>
      <w:lvlJc w:val="left"/>
      <w:pPr>
        <w:ind w:left="6679" w:hanging="1800"/>
      </w:pPr>
      <w:rPr>
        <w:rFonts w:hint="default"/>
      </w:rPr>
    </w:lvl>
    <w:lvl w:ilvl="8">
      <w:start w:val="1"/>
      <w:numFmt w:val="decimal"/>
      <w:lvlText w:val="%1.%2.%3.%4.%5.%6.%7.%8.%9"/>
      <w:lvlJc w:val="left"/>
      <w:pPr>
        <w:ind w:left="7736" w:hanging="2160"/>
      </w:pPr>
      <w:rPr>
        <w:rFonts w:hint="default"/>
      </w:rPr>
    </w:lvl>
  </w:abstractNum>
  <w:num w:numId="1">
    <w:abstractNumId w:val="2"/>
  </w:num>
  <w:num w:numId="2">
    <w:abstractNumId w:val="5"/>
  </w:num>
  <w:num w:numId="3">
    <w:abstractNumId w:val="7"/>
  </w:num>
  <w:num w:numId="4">
    <w:abstractNumId w:val="3"/>
  </w:num>
  <w:num w:numId="5">
    <w:abstractNumId w:val="0"/>
  </w:num>
  <w:num w:numId="6">
    <w:abstractNumId w:val="1"/>
  </w:num>
  <w:num w:numId="7">
    <w:abstractNumId w:val="6"/>
  </w:num>
  <w:num w:numId="8">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am Van Hieu">
    <w15:presenceInfo w15:providerId="None" w15:userId="Pham Van Hie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stylePaneFormatFilter w:val="3F01"/>
  <w:defaultTabStop w:val="720"/>
  <w:drawingGridHorizontalSpacing w:val="140"/>
  <w:drawingGridVerticalSpacing w:val="381"/>
  <w:displayHorizontalDrawingGridEvery w:val="0"/>
  <w:noPunctuationKerning/>
  <w:characterSpacingControl w:val="doNotCompress"/>
  <w:footnotePr>
    <w:footnote w:id="0"/>
    <w:footnote w:id="1"/>
  </w:footnotePr>
  <w:endnotePr>
    <w:endnote w:id="0"/>
    <w:endnote w:id="1"/>
  </w:endnotePr>
  <w:compat/>
  <w:rsids>
    <w:rsidRoot w:val="00A1500F"/>
    <w:rsid w:val="000001F5"/>
    <w:rsid w:val="0000063C"/>
    <w:rsid w:val="00000934"/>
    <w:rsid w:val="00002D3E"/>
    <w:rsid w:val="000032A7"/>
    <w:rsid w:val="000039E3"/>
    <w:rsid w:val="00004ED5"/>
    <w:rsid w:val="000053C8"/>
    <w:rsid w:val="00005CFC"/>
    <w:rsid w:val="00005FD5"/>
    <w:rsid w:val="00006C02"/>
    <w:rsid w:val="00006DCF"/>
    <w:rsid w:val="00007335"/>
    <w:rsid w:val="00007514"/>
    <w:rsid w:val="000100A7"/>
    <w:rsid w:val="0001039E"/>
    <w:rsid w:val="000106F5"/>
    <w:rsid w:val="00011306"/>
    <w:rsid w:val="00012D51"/>
    <w:rsid w:val="00012DC7"/>
    <w:rsid w:val="00013B00"/>
    <w:rsid w:val="0001609E"/>
    <w:rsid w:val="000163D3"/>
    <w:rsid w:val="00017A6A"/>
    <w:rsid w:val="0002020E"/>
    <w:rsid w:val="000205DB"/>
    <w:rsid w:val="00020D3E"/>
    <w:rsid w:val="00021796"/>
    <w:rsid w:val="000219A9"/>
    <w:rsid w:val="00021CE1"/>
    <w:rsid w:val="00022133"/>
    <w:rsid w:val="00022253"/>
    <w:rsid w:val="00023083"/>
    <w:rsid w:val="00023585"/>
    <w:rsid w:val="00023855"/>
    <w:rsid w:val="00025912"/>
    <w:rsid w:val="00025CEC"/>
    <w:rsid w:val="00025E2F"/>
    <w:rsid w:val="00026520"/>
    <w:rsid w:val="00026EAB"/>
    <w:rsid w:val="000274E1"/>
    <w:rsid w:val="00027743"/>
    <w:rsid w:val="000277D0"/>
    <w:rsid w:val="00027911"/>
    <w:rsid w:val="0003155C"/>
    <w:rsid w:val="0003164A"/>
    <w:rsid w:val="00032995"/>
    <w:rsid w:val="00032CCD"/>
    <w:rsid w:val="000333C0"/>
    <w:rsid w:val="000339BF"/>
    <w:rsid w:val="0003416E"/>
    <w:rsid w:val="00034231"/>
    <w:rsid w:val="00034D0B"/>
    <w:rsid w:val="000357C2"/>
    <w:rsid w:val="00035824"/>
    <w:rsid w:val="00035900"/>
    <w:rsid w:val="00035DF9"/>
    <w:rsid w:val="0003697C"/>
    <w:rsid w:val="000373BA"/>
    <w:rsid w:val="000375E5"/>
    <w:rsid w:val="00037B04"/>
    <w:rsid w:val="00037D54"/>
    <w:rsid w:val="000405A7"/>
    <w:rsid w:val="0004092A"/>
    <w:rsid w:val="00040C2B"/>
    <w:rsid w:val="000413B2"/>
    <w:rsid w:val="00041C84"/>
    <w:rsid w:val="0004238B"/>
    <w:rsid w:val="000429C1"/>
    <w:rsid w:val="000431A5"/>
    <w:rsid w:val="0004443A"/>
    <w:rsid w:val="00044548"/>
    <w:rsid w:val="00044BA0"/>
    <w:rsid w:val="00045934"/>
    <w:rsid w:val="00047040"/>
    <w:rsid w:val="00050B33"/>
    <w:rsid w:val="000512D9"/>
    <w:rsid w:val="00051B3D"/>
    <w:rsid w:val="000529A3"/>
    <w:rsid w:val="00052C5B"/>
    <w:rsid w:val="00052D6B"/>
    <w:rsid w:val="00053C50"/>
    <w:rsid w:val="00054EC8"/>
    <w:rsid w:val="00055586"/>
    <w:rsid w:val="00055613"/>
    <w:rsid w:val="000558CD"/>
    <w:rsid w:val="00055F55"/>
    <w:rsid w:val="00055FD6"/>
    <w:rsid w:val="000563BD"/>
    <w:rsid w:val="00056970"/>
    <w:rsid w:val="00057A48"/>
    <w:rsid w:val="00060617"/>
    <w:rsid w:val="000616A1"/>
    <w:rsid w:val="00061981"/>
    <w:rsid w:val="00062D64"/>
    <w:rsid w:val="00063573"/>
    <w:rsid w:val="000644E7"/>
    <w:rsid w:val="00064C44"/>
    <w:rsid w:val="0006517D"/>
    <w:rsid w:val="00065242"/>
    <w:rsid w:val="00065F87"/>
    <w:rsid w:val="0006628A"/>
    <w:rsid w:val="0006652A"/>
    <w:rsid w:val="00066861"/>
    <w:rsid w:val="00066F91"/>
    <w:rsid w:val="0006766A"/>
    <w:rsid w:val="000677E4"/>
    <w:rsid w:val="00067D88"/>
    <w:rsid w:val="000703AA"/>
    <w:rsid w:val="00070702"/>
    <w:rsid w:val="00070B26"/>
    <w:rsid w:val="00070D9C"/>
    <w:rsid w:val="00070F37"/>
    <w:rsid w:val="0007132B"/>
    <w:rsid w:val="00071560"/>
    <w:rsid w:val="00071CC6"/>
    <w:rsid w:val="00071CDC"/>
    <w:rsid w:val="0007236B"/>
    <w:rsid w:val="00072708"/>
    <w:rsid w:val="00073143"/>
    <w:rsid w:val="0007319D"/>
    <w:rsid w:val="0007344F"/>
    <w:rsid w:val="000735C0"/>
    <w:rsid w:val="00073833"/>
    <w:rsid w:val="00073B92"/>
    <w:rsid w:val="0007462C"/>
    <w:rsid w:val="00074ABF"/>
    <w:rsid w:val="000755CE"/>
    <w:rsid w:val="00075668"/>
    <w:rsid w:val="00075A3E"/>
    <w:rsid w:val="00075DDE"/>
    <w:rsid w:val="00075DE8"/>
    <w:rsid w:val="00075E1E"/>
    <w:rsid w:val="00075F72"/>
    <w:rsid w:val="00077E07"/>
    <w:rsid w:val="000803E9"/>
    <w:rsid w:val="00080528"/>
    <w:rsid w:val="000811A5"/>
    <w:rsid w:val="00081670"/>
    <w:rsid w:val="00081C81"/>
    <w:rsid w:val="0008225B"/>
    <w:rsid w:val="0008237D"/>
    <w:rsid w:val="0008286F"/>
    <w:rsid w:val="00083795"/>
    <w:rsid w:val="0008461A"/>
    <w:rsid w:val="00084C66"/>
    <w:rsid w:val="00085530"/>
    <w:rsid w:val="00086AAD"/>
    <w:rsid w:val="00086D85"/>
    <w:rsid w:val="00086DD2"/>
    <w:rsid w:val="00087956"/>
    <w:rsid w:val="00090023"/>
    <w:rsid w:val="00090272"/>
    <w:rsid w:val="00090E1C"/>
    <w:rsid w:val="00090FA8"/>
    <w:rsid w:val="000912BA"/>
    <w:rsid w:val="000914B1"/>
    <w:rsid w:val="00091FB6"/>
    <w:rsid w:val="00092541"/>
    <w:rsid w:val="00092722"/>
    <w:rsid w:val="00093493"/>
    <w:rsid w:val="00093564"/>
    <w:rsid w:val="000937C1"/>
    <w:rsid w:val="0009402E"/>
    <w:rsid w:val="00094953"/>
    <w:rsid w:val="00094A7F"/>
    <w:rsid w:val="00094F95"/>
    <w:rsid w:val="0009530A"/>
    <w:rsid w:val="00095337"/>
    <w:rsid w:val="00095529"/>
    <w:rsid w:val="00095774"/>
    <w:rsid w:val="00095813"/>
    <w:rsid w:val="00095819"/>
    <w:rsid w:val="0009626E"/>
    <w:rsid w:val="0009683F"/>
    <w:rsid w:val="000968BB"/>
    <w:rsid w:val="000968DA"/>
    <w:rsid w:val="00096B15"/>
    <w:rsid w:val="000977AE"/>
    <w:rsid w:val="00097C47"/>
    <w:rsid w:val="000A03E3"/>
    <w:rsid w:val="000A19BB"/>
    <w:rsid w:val="000A1AEC"/>
    <w:rsid w:val="000A2624"/>
    <w:rsid w:val="000A2B6B"/>
    <w:rsid w:val="000A3C4C"/>
    <w:rsid w:val="000A4002"/>
    <w:rsid w:val="000A47FE"/>
    <w:rsid w:val="000A4807"/>
    <w:rsid w:val="000A49C9"/>
    <w:rsid w:val="000A53C3"/>
    <w:rsid w:val="000A5406"/>
    <w:rsid w:val="000A54AC"/>
    <w:rsid w:val="000A5930"/>
    <w:rsid w:val="000A5FFA"/>
    <w:rsid w:val="000A6C96"/>
    <w:rsid w:val="000A6D5D"/>
    <w:rsid w:val="000A763C"/>
    <w:rsid w:val="000A77FB"/>
    <w:rsid w:val="000A78DA"/>
    <w:rsid w:val="000B006D"/>
    <w:rsid w:val="000B1F76"/>
    <w:rsid w:val="000B2716"/>
    <w:rsid w:val="000B37C7"/>
    <w:rsid w:val="000B37F8"/>
    <w:rsid w:val="000B38BC"/>
    <w:rsid w:val="000B4A9E"/>
    <w:rsid w:val="000B4E06"/>
    <w:rsid w:val="000B552A"/>
    <w:rsid w:val="000B56C7"/>
    <w:rsid w:val="000B625D"/>
    <w:rsid w:val="000B6639"/>
    <w:rsid w:val="000B6D94"/>
    <w:rsid w:val="000B7703"/>
    <w:rsid w:val="000B7B48"/>
    <w:rsid w:val="000B7E54"/>
    <w:rsid w:val="000C0734"/>
    <w:rsid w:val="000C0D01"/>
    <w:rsid w:val="000C0FCF"/>
    <w:rsid w:val="000C12AC"/>
    <w:rsid w:val="000C168B"/>
    <w:rsid w:val="000C18FB"/>
    <w:rsid w:val="000C197E"/>
    <w:rsid w:val="000C1A51"/>
    <w:rsid w:val="000C28A7"/>
    <w:rsid w:val="000C293E"/>
    <w:rsid w:val="000C2D04"/>
    <w:rsid w:val="000C2F0F"/>
    <w:rsid w:val="000C33CA"/>
    <w:rsid w:val="000C34AA"/>
    <w:rsid w:val="000C3573"/>
    <w:rsid w:val="000C4B08"/>
    <w:rsid w:val="000C4B50"/>
    <w:rsid w:val="000C557E"/>
    <w:rsid w:val="000C5C1A"/>
    <w:rsid w:val="000C5CC8"/>
    <w:rsid w:val="000C632A"/>
    <w:rsid w:val="000C6A5A"/>
    <w:rsid w:val="000D06A6"/>
    <w:rsid w:val="000D0CAA"/>
    <w:rsid w:val="000D102D"/>
    <w:rsid w:val="000D1D28"/>
    <w:rsid w:val="000D27EE"/>
    <w:rsid w:val="000D3093"/>
    <w:rsid w:val="000D35B3"/>
    <w:rsid w:val="000D3BC0"/>
    <w:rsid w:val="000D3DB2"/>
    <w:rsid w:val="000D3E95"/>
    <w:rsid w:val="000D41D7"/>
    <w:rsid w:val="000D46AC"/>
    <w:rsid w:val="000D4FD1"/>
    <w:rsid w:val="000D5712"/>
    <w:rsid w:val="000D5AE6"/>
    <w:rsid w:val="000D6E84"/>
    <w:rsid w:val="000D75A2"/>
    <w:rsid w:val="000D78E0"/>
    <w:rsid w:val="000E0348"/>
    <w:rsid w:val="000E0FF9"/>
    <w:rsid w:val="000E153B"/>
    <w:rsid w:val="000E16A0"/>
    <w:rsid w:val="000E1932"/>
    <w:rsid w:val="000E194C"/>
    <w:rsid w:val="000E1BA6"/>
    <w:rsid w:val="000E1F50"/>
    <w:rsid w:val="000E264F"/>
    <w:rsid w:val="000E2A85"/>
    <w:rsid w:val="000E2F4E"/>
    <w:rsid w:val="000E36A4"/>
    <w:rsid w:val="000E3AC7"/>
    <w:rsid w:val="000E4143"/>
    <w:rsid w:val="000E45B8"/>
    <w:rsid w:val="000E5E83"/>
    <w:rsid w:val="000E6724"/>
    <w:rsid w:val="000E6E6B"/>
    <w:rsid w:val="000E7199"/>
    <w:rsid w:val="000E71CF"/>
    <w:rsid w:val="000E7C85"/>
    <w:rsid w:val="000E7F78"/>
    <w:rsid w:val="000F0A40"/>
    <w:rsid w:val="000F1FE1"/>
    <w:rsid w:val="000F2AC5"/>
    <w:rsid w:val="000F377D"/>
    <w:rsid w:val="000F385D"/>
    <w:rsid w:val="000F3A92"/>
    <w:rsid w:val="000F4CB1"/>
    <w:rsid w:val="000F5039"/>
    <w:rsid w:val="000F52F3"/>
    <w:rsid w:val="000F530A"/>
    <w:rsid w:val="000F6E4B"/>
    <w:rsid w:val="000F77E3"/>
    <w:rsid w:val="000F7CF6"/>
    <w:rsid w:val="000F7D36"/>
    <w:rsid w:val="000F7E95"/>
    <w:rsid w:val="00100273"/>
    <w:rsid w:val="0010035F"/>
    <w:rsid w:val="001003EC"/>
    <w:rsid w:val="00100878"/>
    <w:rsid w:val="00100B31"/>
    <w:rsid w:val="001010DC"/>
    <w:rsid w:val="001011A7"/>
    <w:rsid w:val="0010146F"/>
    <w:rsid w:val="0010250E"/>
    <w:rsid w:val="001026F5"/>
    <w:rsid w:val="00103616"/>
    <w:rsid w:val="00103868"/>
    <w:rsid w:val="0010387E"/>
    <w:rsid w:val="0010393C"/>
    <w:rsid w:val="00103C4B"/>
    <w:rsid w:val="00103E47"/>
    <w:rsid w:val="00104157"/>
    <w:rsid w:val="001045B6"/>
    <w:rsid w:val="00104883"/>
    <w:rsid w:val="00104A59"/>
    <w:rsid w:val="00104D41"/>
    <w:rsid w:val="00105592"/>
    <w:rsid w:val="00105793"/>
    <w:rsid w:val="0010656E"/>
    <w:rsid w:val="00106999"/>
    <w:rsid w:val="00106C44"/>
    <w:rsid w:val="00106C9D"/>
    <w:rsid w:val="00106CA8"/>
    <w:rsid w:val="00106CDA"/>
    <w:rsid w:val="00106FD5"/>
    <w:rsid w:val="00107866"/>
    <w:rsid w:val="00107A01"/>
    <w:rsid w:val="00107B58"/>
    <w:rsid w:val="00107B5F"/>
    <w:rsid w:val="00107D23"/>
    <w:rsid w:val="00110569"/>
    <w:rsid w:val="001110F4"/>
    <w:rsid w:val="001113E7"/>
    <w:rsid w:val="00111410"/>
    <w:rsid w:val="00111E06"/>
    <w:rsid w:val="00111EBF"/>
    <w:rsid w:val="0011240F"/>
    <w:rsid w:val="001124E6"/>
    <w:rsid w:val="001125B1"/>
    <w:rsid w:val="00113064"/>
    <w:rsid w:val="00113CBF"/>
    <w:rsid w:val="001140D8"/>
    <w:rsid w:val="00114449"/>
    <w:rsid w:val="00114D73"/>
    <w:rsid w:val="00115089"/>
    <w:rsid w:val="001159C8"/>
    <w:rsid w:val="00115D77"/>
    <w:rsid w:val="0011691F"/>
    <w:rsid w:val="00116939"/>
    <w:rsid w:val="001169B1"/>
    <w:rsid w:val="00116EEE"/>
    <w:rsid w:val="00120AD0"/>
    <w:rsid w:val="001210E7"/>
    <w:rsid w:val="0012113B"/>
    <w:rsid w:val="00121630"/>
    <w:rsid w:val="0012175B"/>
    <w:rsid w:val="001218BF"/>
    <w:rsid w:val="001223F1"/>
    <w:rsid w:val="00122619"/>
    <w:rsid w:val="00122966"/>
    <w:rsid w:val="0012392F"/>
    <w:rsid w:val="00123A03"/>
    <w:rsid w:val="00123CDE"/>
    <w:rsid w:val="00125A27"/>
    <w:rsid w:val="00125F36"/>
    <w:rsid w:val="001261FF"/>
    <w:rsid w:val="001264EB"/>
    <w:rsid w:val="00126643"/>
    <w:rsid w:val="00126EF0"/>
    <w:rsid w:val="00126F07"/>
    <w:rsid w:val="001273E4"/>
    <w:rsid w:val="00127953"/>
    <w:rsid w:val="0013005A"/>
    <w:rsid w:val="00130117"/>
    <w:rsid w:val="00130B5A"/>
    <w:rsid w:val="00131609"/>
    <w:rsid w:val="00131EEC"/>
    <w:rsid w:val="00132506"/>
    <w:rsid w:val="00132955"/>
    <w:rsid w:val="00132DD1"/>
    <w:rsid w:val="00133991"/>
    <w:rsid w:val="00133D1B"/>
    <w:rsid w:val="00134FB6"/>
    <w:rsid w:val="0013531B"/>
    <w:rsid w:val="001353F2"/>
    <w:rsid w:val="001355C7"/>
    <w:rsid w:val="00135FA0"/>
    <w:rsid w:val="00136575"/>
    <w:rsid w:val="0013681C"/>
    <w:rsid w:val="00136963"/>
    <w:rsid w:val="00136F59"/>
    <w:rsid w:val="00136FB3"/>
    <w:rsid w:val="00137C45"/>
    <w:rsid w:val="0014005F"/>
    <w:rsid w:val="0014097C"/>
    <w:rsid w:val="00140AFB"/>
    <w:rsid w:val="001412E5"/>
    <w:rsid w:val="001419A0"/>
    <w:rsid w:val="0014223E"/>
    <w:rsid w:val="001428C4"/>
    <w:rsid w:val="00142AB3"/>
    <w:rsid w:val="00142BA6"/>
    <w:rsid w:val="00143289"/>
    <w:rsid w:val="001437C6"/>
    <w:rsid w:val="00144E21"/>
    <w:rsid w:val="0014523E"/>
    <w:rsid w:val="0014525E"/>
    <w:rsid w:val="001453BE"/>
    <w:rsid w:val="00145962"/>
    <w:rsid w:val="00145B55"/>
    <w:rsid w:val="00146D08"/>
    <w:rsid w:val="00147690"/>
    <w:rsid w:val="001501A5"/>
    <w:rsid w:val="001501C7"/>
    <w:rsid w:val="001503F4"/>
    <w:rsid w:val="00151189"/>
    <w:rsid w:val="001516D8"/>
    <w:rsid w:val="00151EA5"/>
    <w:rsid w:val="0015222A"/>
    <w:rsid w:val="00152517"/>
    <w:rsid w:val="00153217"/>
    <w:rsid w:val="00153AA7"/>
    <w:rsid w:val="00153AD2"/>
    <w:rsid w:val="00154052"/>
    <w:rsid w:val="0015437D"/>
    <w:rsid w:val="001553F8"/>
    <w:rsid w:val="00155A8A"/>
    <w:rsid w:val="00156085"/>
    <w:rsid w:val="0015625B"/>
    <w:rsid w:val="001570BB"/>
    <w:rsid w:val="00157C6D"/>
    <w:rsid w:val="001603BD"/>
    <w:rsid w:val="001613F1"/>
    <w:rsid w:val="001617F7"/>
    <w:rsid w:val="00161D4C"/>
    <w:rsid w:val="00162190"/>
    <w:rsid w:val="001621AA"/>
    <w:rsid w:val="00162A31"/>
    <w:rsid w:val="00162C9B"/>
    <w:rsid w:val="001631D9"/>
    <w:rsid w:val="0016320C"/>
    <w:rsid w:val="0016346C"/>
    <w:rsid w:val="00163A33"/>
    <w:rsid w:val="00163B3B"/>
    <w:rsid w:val="00164604"/>
    <w:rsid w:val="00164E94"/>
    <w:rsid w:val="00165C73"/>
    <w:rsid w:val="00167226"/>
    <w:rsid w:val="00167395"/>
    <w:rsid w:val="0016794B"/>
    <w:rsid w:val="00167B8D"/>
    <w:rsid w:val="00167C05"/>
    <w:rsid w:val="00170216"/>
    <w:rsid w:val="00170752"/>
    <w:rsid w:val="00170ED4"/>
    <w:rsid w:val="00171B53"/>
    <w:rsid w:val="00171B6E"/>
    <w:rsid w:val="00172193"/>
    <w:rsid w:val="0017256B"/>
    <w:rsid w:val="001728E2"/>
    <w:rsid w:val="00172C20"/>
    <w:rsid w:val="001736AC"/>
    <w:rsid w:val="001738A3"/>
    <w:rsid w:val="00173B23"/>
    <w:rsid w:val="00173D19"/>
    <w:rsid w:val="0017464A"/>
    <w:rsid w:val="001747A9"/>
    <w:rsid w:val="00174A84"/>
    <w:rsid w:val="00174DB1"/>
    <w:rsid w:val="00175396"/>
    <w:rsid w:val="001757F4"/>
    <w:rsid w:val="00175CC4"/>
    <w:rsid w:val="00175E62"/>
    <w:rsid w:val="00176934"/>
    <w:rsid w:val="001775F3"/>
    <w:rsid w:val="0018035C"/>
    <w:rsid w:val="0018048A"/>
    <w:rsid w:val="00180EC9"/>
    <w:rsid w:val="00180FE8"/>
    <w:rsid w:val="001815B8"/>
    <w:rsid w:val="00182A25"/>
    <w:rsid w:val="00182EB6"/>
    <w:rsid w:val="00182EFB"/>
    <w:rsid w:val="001832C2"/>
    <w:rsid w:val="0018350D"/>
    <w:rsid w:val="0018366F"/>
    <w:rsid w:val="00184662"/>
    <w:rsid w:val="00186633"/>
    <w:rsid w:val="00186B5A"/>
    <w:rsid w:val="00186BDF"/>
    <w:rsid w:val="00186EA5"/>
    <w:rsid w:val="001872D6"/>
    <w:rsid w:val="00187696"/>
    <w:rsid w:val="00187862"/>
    <w:rsid w:val="00190A7C"/>
    <w:rsid w:val="00191286"/>
    <w:rsid w:val="00191A84"/>
    <w:rsid w:val="00192242"/>
    <w:rsid w:val="0019294C"/>
    <w:rsid w:val="00192DB4"/>
    <w:rsid w:val="001936EB"/>
    <w:rsid w:val="001946C4"/>
    <w:rsid w:val="00194985"/>
    <w:rsid w:val="00194C8A"/>
    <w:rsid w:val="0019584C"/>
    <w:rsid w:val="00195B6C"/>
    <w:rsid w:val="00196F11"/>
    <w:rsid w:val="0019743E"/>
    <w:rsid w:val="001974A1"/>
    <w:rsid w:val="001A00EE"/>
    <w:rsid w:val="001A0150"/>
    <w:rsid w:val="001A042F"/>
    <w:rsid w:val="001A0453"/>
    <w:rsid w:val="001A0DD5"/>
    <w:rsid w:val="001A0DDF"/>
    <w:rsid w:val="001A155C"/>
    <w:rsid w:val="001A1B9C"/>
    <w:rsid w:val="001A1E3B"/>
    <w:rsid w:val="001A1FE6"/>
    <w:rsid w:val="001A28B6"/>
    <w:rsid w:val="001A2AAF"/>
    <w:rsid w:val="001A45E7"/>
    <w:rsid w:val="001A55FB"/>
    <w:rsid w:val="001A65AB"/>
    <w:rsid w:val="001A6FE0"/>
    <w:rsid w:val="001B0A0C"/>
    <w:rsid w:val="001B0F5A"/>
    <w:rsid w:val="001B146F"/>
    <w:rsid w:val="001B1D55"/>
    <w:rsid w:val="001B1E7C"/>
    <w:rsid w:val="001B1F97"/>
    <w:rsid w:val="001B27F2"/>
    <w:rsid w:val="001B285F"/>
    <w:rsid w:val="001B2E37"/>
    <w:rsid w:val="001B3005"/>
    <w:rsid w:val="001B31E2"/>
    <w:rsid w:val="001B45AD"/>
    <w:rsid w:val="001B4B41"/>
    <w:rsid w:val="001B5EE4"/>
    <w:rsid w:val="001B607F"/>
    <w:rsid w:val="001B6242"/>
    <w:rsid w:val="001B67BA"/>
    <w:rsid w:val="001B67F1"/>
    <w:rsid w:val="001B692A"/>
    <w:rsid w:val="001B7DC6"/>
    <w:rsid w:val="001C014C"/>
    <w:rsid w:val="001C0B46"/>
    <w:rsid w:val="001C13D4"/>
    <w:rsid w:val="001C174C"/>
    <w:rsid w:val="001C1990"/>
    <w:rsid w:val="001C1B93"/>
    <w:rsid w:val="001C22E0"/>
    <w:rsid w:val="001C24BC"/>
    <w:rsid w:val="001C2612"/>
    <w:rsid w:val="001C2D7C"/>
    <w:rsid w:val="001C2EEF"/>
    <w:rsid w:val="001C3AE7"/>
    <w:rsid w:val="001C3BF5"/>
    <w:rsid w:val="001C3D10"/>
    <w:rsid w:val="001C4B5A"/>
    <w:rsid w:val="001C5311"/>
    <w:rsid w:val="001C5786"/>
    <w:rsid w:val="001C78F6"/>
    <w:rsid w:val="001D00ED"/>
    <w:rsid w:val="001D072B"/>
    <w:rsid w:val="001D0860"/>
    <w:rsid w:val="001D0CEF"/>
    <w:rsid w:val="001D1384"/>
    <w:rsid w:val="001D1885"/>
    <w:rsid w:val="001D275B"/>
    <w:rsid w:val="001D2D68"/>
    <w:rsid w:val="001D375F"/>
    <w:rsid w:val="001D3D87"/>
    <w:rsid w:val="001D3E58"/>
    <w:rsid w:val="001D3E59"/>
    <w:rsid w:val="001D448C"/>
    <w:rsid w:val="001D4578"/>
    <w:rsid w:val="001D4FCA"/>
    <w:rsid w:val="001D590D"/>
    <w:rsid w:val="001D5ED8"/>
    <w:rsid w:val="001D739E"/>
    <w:rsid w:val="001D7B78"/>
    <w:rsid w:val="001E01A4"/>
    <w:rsid w:val="001E043B"/>
    <w:rsid w:val="001E046B"/>
    <w:rsid w:val="001E071B"/>
    <w:rsid w:val="001E2159"/>
    <w:rsid w:val="001E21F8"/>
    <w:rsid w:val="001E262B"/>
    <w:rsid w:val="001E2F31"/>
    <w:rsid w:val="001E3692"/>
    <w:rsid w:val="001E3D0F"/>
    <w:rsid w:val="001E4C92"/>
    <w:rsid w:val="001E4CD4"/>
    <w:rsid w:val="001E5679"/>
    <w:rsid w:val="001E6364"/>
    <w:rsid w:val="001E67CF"/>
    <w:rsid w:val="001E6ADC"/>
    <w:rsid w:val="001E6FF9"/>
    <w:rsid w:val="001E72BE"/>
    <w:rsid w:val="001E7E83"/>
    <w:rsid w:val="001F00D8"/>
    <w:rsid w:val="001F0894"/>
    <w:rsid w:val="001F08E2"/>
    <w:rsid w:val="001F16DE"/>
    <w:rsid w:val="001F1AD4"/>
    <w:rsid w:val="001F1F36"/>
    <w:rsid w:val="001F1F8D"/>
    <w:rsid w:val="001F245E"/>
    <w:rsid w:val="001F2DCE"/>
    <w:rsid w:val="001F2DFA"/>
    <w:rsid w:val="001F32C4"/>
    <w:rsid w:val="001F34E5"/>
    <w:rsid w:val="001F3640"/>
    <w:rsid w:val="001F3764"/>
    <w:rsid w:val="001F48DC"/>
    <w:rsid w:val="001F557F"/>
    <w:rsid w:val="001F5885"/>
    <w:rsid w:val="001F5FE6"/>
    <w:rsid w:val="001F60C8"/>
    <w:rsid w:val="001F6BDF"/>
    <w:rsid w:val="001F73D3"/>
    <w:rsid w:val="001F74FC"/>
    <w:rsid w:val="001F7640"/>
    <w:rsid w:val="001F7B93"/>
    <w:rsid w:val="001F7BCA"/>
    <w:rsid w:val="00200013"/>
    <w:rsid w:val="00200427"/>
    <w:rsid w:val="002009C8"/>
    <w:rsid w:val="00200A81"/>
    <w:rsid w:val="00200CF2"/>
    <w:rsid w:val="002014C0"/>
    <w:rsid w:val="00202308"/>
    <w:rsid w:val="00202F75"/>
    <w:rsid w:val="0020354E"/>
    <w:rsid w:val="00204310"/>
    <w:rsid w:val="0020441A"/>
    <w:rsid w:val="00204DEC"/>
    <w:rsid w:val="00205316"/>
    <w:rsid w:val="00205552"/>
    <w:rsid w:val="002055B0"/>
    <w:rsid w:val="00205720"/>
    <w:rsid w:val="00205959"/>
    <w:rsid w:val="00205A22"/>
    <w:rsid w:val="00207861"/>
    <w:rsid w:val="00210346"/>
    <w:rsid w:val="002106DD"/>
    <w:rsid w:val="00210B67"/>
    <w:rsid w:val="00210E80"/>
    <w:rsid w:val="00211134"/>
    <w:rsid w:val="0021158B"/>
    <w:rsid w:val="00211DB7"/>
    <w:rsid w:val="002120C4"/>
    <w:rsid w:val="00212979"/>
    <w:rsid w:val="00212A21"/>
    <w:rsid w:val="00212A3F"/>
    <w:rsid w:val="0021368C"/>
    <w:rsid w:val="00213BED"/>
    <w:rsid w:val="00213CEE"/>
    <w:rsid w:val="00214652"/>
    <w:rsid w:val="002149FD"/>
    <w:rsid w:val="00214FB9"/>
    <w:rsid w:val="002155C4"/>
    <w:rsid w:val="00215793"/>
    <w:rsid w:val="002159ED"/>
    <w:rsid w:val="00216040"/>
    <w:rsid w:val="00216477"/>
    <w:rsid w:val="00216ABE"/>
    <w:rsid w:val="00216AEA"/>
    <w:rsid w:val="00217037"/>
    <w:rsid w:val="002174C8"/>
    <w:rsid w:val="00220240"/>
    <w:rsid w:val="0022024A"/>
    <w:rsid w:val="002207E4"/>
    <w:rsid w:val="002209D5"/>
    <w:rsid w:val="002217DF"/>
    <w:rsid w:val="00221BEA"/>
    <w:rsid w:val="00221C00"/>
    <w:rsid w:val="00222B8A"/>
    <w:rsid w:val="002236B7"/>
    <w:rsid w:val="00223A30"/>
    <w:rsid w:val="00223BE0"/>
    <w:rsid w:val="00224096"/>
    <w:rsid w:val="002240B6"/>
    <w:rsid w:val="00224639"/>
    <w:rsid w:val="002246B1"/>
    <w:rsid w:val="00224891"/>
    <w:rsid w:val="002248BC"/>
    <w:rsid w:val="00224B52"/>
    <w:rsid w:val="00225029"/>
    <w:rsid w:val="00225600"/>
    <w:rsid w:val="00225A15"/>
    <w:rsid w:val="00226160"/>
    <w:rsid w:val="00226BE7"/>
    <w:rsid w:val="002272E7"/>
    <w:rsid w:val="002304EE"/>
    <w:rsid w:val="002313E6"/>
    <w:rsid w:val="00231904"/>
    <w:rsid w:val="002325DE"/>
    <w:rsid w:val="00232CCD"/>
    <w:rsid w:val="0023385B"/>
    <w:rsid w:val="00233AFE"/>
    <w:rsid w:val="00233C63"/>
    <w:rsid w:val="00233E5B"/>
    <w:rsid w:val="00234369"/>
    <w:rsid w:val="00234D33"/>
    <w:rsid w:val="00234DC8"/>
    <w:rsid w:val="00234E9B"/>
    <w:rsid w:val="00235147"/>
    <w:rsid w:val="0023663C"/>
    <w:rsid w:val="0023672D"/>
    <w:rsid w:val="00236851"/>
    <w:rsid w:val="00240484"/>
    <w:rsid w:val="00240979"/>
    <w:rsid w:val="00240A85"/>
    <w:rsid w:val="00240BFC"/>
    <w:rsid w:val="00241C15"/>
    <w:rsid w:val="00241DE2"/>
    <w:rsid w:val="00242752"/>
    <w:rsid w:val="0024304A"/>
    <w:rsid w:val="0024389B"/>
    <w:rsid w:val="00243957"/>
    <w:rsid w:val="0024399F"/>
    <w:rsid w:val="00243D69"/>
    <w:rsid w:val="002446C8"/>
    <w:rsid w:val="0024488E"/>
    <w:rsid w:val="00244A2C"/>
    <w:rsid w:val="00244E10"/>
    <w:rsid w:val="00245550"/>
    <w:rsid w:val="00245A02"/>
    <w:rsid w:val="00245C10"/>
    <w:rsid w:val="00246596"/>
    <w:rsid w:val="00246D23"/>
    <w:rsid w:val="00246D54"/>
    <w:rsid w:val="002476C8"/>
    <w:rsid w:val="00247C68"/>
    <w:rsid w:val="00247F81"/>
    <w:rsid w:val="00250976"/>
    <w:rsid w:val="002511D7"/>
    <w:rsid w:val="0025167A"/>
    <w:rsid w:val="00251A9E"/>
    <w:rsid w:val="00252464"/>
    <w:rsid w:val="00252753"/>
    <w:rsid w:val="00252FDC"/>
    <w:rsid w:val="00253A84"/>
    <w:rsid w:val="00253EBE"/>
    <w:rsid w:val="00255FA4"/>
    <w:rsid w:val="0025601C"/>
    <w:rsid w:val="002561CF"/>
    <w:rsid w:val="002562A0"/>
    <w:rsid w:val="002565B8"/>
    <w:rsid w:val="002571EC"/>
    <w:rsid w:val="00257501"/>
    <w:rsid w:val="00257F1B"/>
    <w:rsid w:val="00260837"/>
    <w:rsid w:val="00260BAC"/>
    <w:rsid w:val="0026166D"/>
    <w:rsid w:val="002619E3"/>
    <w:rsid w:val="00261B23"/>
    <w:rsid w:val="00261C1A"/>
    <w:rsid w:val="00261C93"/>
    <w:rsid w:val="002622B8"/>
    <w:rsid w:val="00262577"/>
    <w:rsid w:val="002628C1"/>
    <w:rsid w:val="00263DEB"/>
    <w:rsid w:val="00264599"/>
    <w:rsid w:val="002655F1"/>
    <w:rsid w:val="002657D9"/>
    <w:rsid w:val="00265826"/>
    <w:rsid w:val="00265B65"/>
    <w:rsid w:val="00265C9E"/>
    <w:rsid w:val="00265E40"/>
    <w:rsid w:val="00265FE5"/>
    <w:rsid w:val="0026712A"/>
    <w:rsid w:val="002679E9"/>
    <w:rsid w:val="002702E5"/>
    <w:rsid w:val="00270A67"/>
    <w:rsid w:val="002719BD"/>
    <w:rsid w:val="00271DE1"/>
    <w:rsid w:val="00272498"/>
    <w:rsid w:val="0027275A"/>
    <w:rsid w:val="0027328A"/>
    <w:rsid w:val="00273793"/>
    <w:rsid w:val="00273D62"/>
    <w:rsid w:val="00274161"/>
    <w:rsid w:val="0027417F"/>
    <w:rsid w:val="002746BD"/>
    <w:rsid w:val="00275846"/>
    <w:rsid w:val="00275FCC"/>
    <w:rsid w:val="00276040"/>
    <w:rsid w:val="0028005E"/>
    <w:rsid w:val="0028006D"/>
    <w:rsid w:val="00281737"/>
    <w:rsid w:val="00281BA0"/>
    <w:rsid w:val="00281E90"/>
    <w:rsid w:val="00282A2E"/>
    <w:rsid w:val="00283C96"/>
    <w:rsid w:val="00283CA4"/>
    <w:rsid w:val="00284243"/>
    <w:rsid w:val="002845E9"/>
    <w:rsid w:val="00284A82"/>
    <w:rsid w:val="0028526D"/>
    <w:rsid w:val="00286DB7"/>
    <w:rsid w:val="00287367"/>
    <w:rsid w:val="00287674"/>
    <w:rsid w:val="00287D39"/>
    <w:rsid w:val="0029022F"/>
    <w:rsid w:val="00291109"/>
    <w:rsid w:val="00291ACD"/>
    <w:rsid w:val="00291F11"/>
    <w:rsid w:val="00292410"/>
    <w:rsid w:val="00292C45"/>
    <w:rsid w:val="00292E00"/>
    <w:rsid w:val="0029347F"/>
    <w:rsid w:val="002942C4"/>
    <w:rsid w:val="00294AF2"/>
    <w:rsid w:val="0029535E"/>
    <w:rsid w:val="00295451"/>
    <w:rsid w:val="0029551C"/>
    <w:rsid w:val="00295792"/>
    <w:rsid w:val="0029592A"/>
    <w:rsid w:val="002959B0"/>
    <w:rsid w:val="002960D6"/>
    <w:rsid w:val="00296114"/>
    <w:rsid w:val="0029634E"/>
    <w:rsid w:val="00296606"/>
    <w:rsid w:val="00296F50"/>
    <w:rsid w:val="00296FD4"/>
    <w:rsid w:val="00297144"/>
    <w:rsid w:val="002A06B9"/>
    <w:rsid w:val="002A106F"/>
    <w:rsid w:val="002A10F7"/>
    <w:rsid w:val="002A2283"/>
    <w:rsid w:val="002A230E"/>
    <w:rsid w:val="002A2890"/>
    <w:rsid w:val="002A2A49"/>
    <w:rsid w:val="002A2B59"/>
    <w:rsid w:val="002A31DE"/>
    <w:rsid w:val="002A3E26"/>
    <w:rsid w:val="002A3EB6"/>
    <w:rsid w:val="002A4611"/>
    <w:rsid w:val="002A5112"/>
    <w:rsid w:val="002A5482"/>
    <w:rsid w:val="002A6062"/>
    <w:rsid w:val="002A62D2"/>
    <w:rsid w:val="002A7726"/>
    <w:rsid w:val="002A7AD5"/>
    <w:rsid w:val="002A7B17"/>
    <w:rsid w:val="002A7E6F"/>
    <w:rsid w:val="002B0B94"/>
    <w:rsid w:val="002B0C46"/>
    <w:rsid w:val="002B1481"/>
    <w:rsid w:val="002B155A"/>
    <w:rsid w:val="002B1D9F"/>
    <w:rsid w:val="002B2FF8"/>
    <w:rsid w:val="002B42A7"/>
    <w:rsid w:val="002B4ECC"/>
    <w:rsid w:val="002B4F5B"/>
    <w:rsid w:val="002B4FE3"/>
    <w:rsid w:val="002B54C0"/>
    <w:rsid w:val="002B57A4"/>
    <w:rsid w:val="002B5CF7"/>
    <w:rsid w:val="002B60B3"/>
    <w:rsid w:val="002B65B0"/>
    <w:rsid w:val="002B6F8F"/>
    <w:rsid w:val="002B70C0"/>
    <w:rsid w:val="002C0B94"/>
    <w:rsid w:val="002C1FAF"/>
    <w:rsid w:val="002C20F5"/>
    <w:rsid w:val="002C2F5F"/>
    <w:rsid w:val="002C3B1C"/>
    <w:rsid w:val="002C49A0"/>
    <w:rsid w:val="002C5354"/>
    <w:rsid w:val="002C5AAD"/>
    <w:rsid w:val="002C699B"/>
    <w:rsid w:val="002C756D"/>
    <w:rsid w:val="002C7965"/>
    <w:rsid w:val="002C7B25"/>
    <w:rsid w:val="002D0411"/>
    <w:rsid w:val="002D0F27"/>
    <w:rsid w:val="002D11DB"/>
    <w:rsid w:val="002D1821"/>
    <w:rsid w:val="002D18A5"/>
    <w:rsid w:val="002D1C0E"/>
    <w:rsid w:val="002D1FD1"/>
    <w:rsid w:val="002D22A6"/>
    <w:rsid w:val="002D255F"/>
    <w:rsid w:val="002D28B3"/>
    <w:rsid w:val="002D31BF"/>
    <w:rsid w:val="002D3D67"/>
    <w:rsid w:val="002D3F6B"/>
    <w:rsid w:val="002D3FFD"/>
    <w:rsid w:val="002D4204"/>
    <w:rsid w:val="002D6213"/>
    <w:rsid w:val="002D67E2"/>
    <w:rsid w:val="002D6E57"/>
    <w:rsid w:val="002D72C9"/>
    <w:rsid w:val="002E01DA"/>
    <w:rsid w:val="002E0389"/>
    <w:rsid w:val="002E05C0"/>
    <w:rsid w:val="002E06A8"/>
    <w:rsid w:val="002E17A5"/>
    <w:rsid w:val="002E1DD7"/>
    <w:rsid w:val="002E2FF8"/>
    <w:rsid w:val="002E32BA"/>
    <w:rsid w:val="002E3343"/>
    <w:rsid w:val="002E33D6"/>
    <w:rsid w:val="002E3F21"/>
    <w:rsid w:val="002E42F7"/>
    <w:rsid w:val="002E43B1"/>
    <w:rsid w:val="002E45BC"/>
    <w:rsid w:val="002E4AF6"/>
    <w:rsid w:val="002E5806"/>
    <w:rsid w:val="002E5F42"/>
    <w:rsid w:val="002E6081"/>
    <w:rsid w:val="002E644F"/>
    <w:rsid w:val="002E6EA3"/>
    <w:rsid w:val="002E7A83"/>
    <w:rsid w:val="002E7C0C"/>
    <w:rsid w:val="002E7EC9"/>
    <w:rsid w:val="002F0EEB"/>
    <w:rsid w:val="002F14D3"/>
    <w:rsid w:val="002F14EF"/>
    <w:rsid w:val="002F1D09"/>
    <w:rsid w:val="002F1E1A"/>
    <w:rsid w:val="002F22A6"/>
    <w:rsid w:val="002F2779"/>
    <w:rsid w:val="002F3086"/>
    <w:rsid w:val="002F4038"/>
    <w:rsid w:val="002F4C8C"/>
    <w:rsid w:val="002F53EC"/>
    <w:rsid w:val="002F55C2"/>
    <w:rsid w:val="002F6366"/>
    <w:rsid w:val="002F6983"/>
    <w:rsid w:val="002F6E84"/>
    <w:rsid w:val="002F6EEF"/>
    <w:rsid w:val="002F7796"/>
    <w:rsid w:val="002F797E"/>
    <w:rsid w:val="002F7C15"/>
    <w:rsid w:val="003001C4"/>
    <w:rsid w:val="00300409"/>
    <w:rsid w:val="00300BE4"/>
    <w:rsid w:val="00300C1B"/>
    <w:rsid w:val="00301162"/>
    <w:rsid w:val="00302DCA"/>
    <w:rsid w:val="00303C73"/>
    <w:rsid w:val="00303F73"/>
    <w:rsid w:val="00304198"/>
    <w:rsid w:val="003042EC"/>
    <w:rsid w:val="00304E94"/>
    <w:rsid w:val="00305A0C"/>
    <w:rsid w:val="00305EA7"/>
    <w:rsid w:val="003060DB"/>
    <w:rsid w:val="00306197"/>
    <w:rsid w:val="00306C0F"/>
    <w:rsid w:val="00307149"/>
    <w:rsid w:val="0031074B"/>
    <w:rsid w:val="00310E5D"/>
    <w:rsid w:val="00311598"/>
    <w:rsid w:val="00311ADC"/>
    <w:rsid w:val="00311C2E"/>
    <w:rsid w:val="00311C7B"/>
    <w:rsid w:val="00311DD6"/>
    <w:rsid w:val="00312165"/>
    <w:rsid w:val="003129D4"/>
    <w:rsid w:val="00313908"/>
    <w:rsid w:val="003139B2"/>
    <w:rsid w:val="00313C06"/>
    <w:rsid w:val="00313EFE"/>
    <w:rsid w:val="00314298"/>
    <w:rsid w:val="00314E0F"/>
    <w:rsid w:val="00315260"/>
    <w:rsid w:val="00315296"/>
    <w:rsid w:val="00315D8F"/>
    <w:rsid w:val="00315F1F"/>
    <w:rsid w:val="00316030"/>
    <w:rsid w:val="00316B33"/>
    <w:rsid w:val="00317D27"/>
    <w:rsid w:val="0032071B"/>
    <w:rsid w:val="00320900"/>
    <w:rsid w:val="00320964"/>
    <w:rsid w:val="0032096B"/>
    <w:rsid w:val="0032161D"/>
    <w:rsid w:val="003220AB"/>
    <w:rsid w:val="00322943"/>
    <w:rsid w:val="00322E6A"/>
    <w:rsid w:val="003238F3"/>
    <w:rsid w:val="00323F58"/>
    <w:rsid w:val="003244B0"/>
    <w:rsid w:val="00324BCE"/>
    <w:rsid w:val="00325287"/>
    <w:rsid w:val="003252F4"/>
    <w:rsid w:val="0032536C"/>
    <w:rsid w:val="00325617"/>
    <w:rsid w:val="00326382"/>
    <w:rsid w:val="003263B5"/>
    <w:rsid w:val="003264DC"/>
    <w:rsid w:val="00327613"/>
    <w:rsid w:val="00327998"/>
    <w:rsid w:val="00327B81"/>
    <w:rsid w:val="00330192"/>
    <w:rsid w:val="00331196"/>
    <w:rsid w:val="00332339"/>
    <w:rsid w:val="0033237B"/>
    <w:rsid w:val="0033244D"/>
    <w:rsid w:val="00333641"/>
    <w:rsid w:val="003337AC"/>
    <w:rsid w:val="00334A06"/>
    <w:rsid w:val="00335DF1"/>
    <w:rsid w:val="00336431"/>
    <w:rsid w:val="003379EF"/>
    <w:rsid w:val="00340FAA"/>
    <w:rsid w:val="00340FB9"/>
    <w:rsid w:val="0034126C"/>
    <w:rsid w:val="00341505"/>
    <w:rsid w:val="0034195F"/>
    <w:rsid w:val="00341AB9"/>
    <w:rsid w:val="003423BD"/>
    <w:rsid w:val="003423F4"/>
    <w:rsid w:val="00342EA7"/>
    <w:rsid w:val="00343796"/>
    <w:rsid w:val="003438C9"/>
    <w:rsid w:val="00344179"/>
    <w:rsid w:val="00345147"/>
    <w:rsid w:val="00345A43"/>
    <w:rsid w:val="00345F77"/>
    <w:rsid w:val="00346B9C"/>
    <w:rsid w:val="003474FA"/>
    <w:rsid w:val="00347503"/>
    <w:rsid w:val="00347CAA"/>
    <w:rsid w:val="00347E34"/>
    <w:rsid w:val="00350084"/>
    <w:rsid w:val="00350199"/>
    <w:rsid w:val="00350A1B"/>
    <w:rsid w:val="0035180F"/>
    <w:rsid w:val="00351DE2"/>
    <w:rsid w:val="00352839"/>
    <w:rsid w:val="00352A56"/>
    <w:rsid w:val="0035330D"/>
    <w:rsid w:val="0035345E"/>
    <w:rsid w:val="00353F81"/>
    <w:rsid w:val="003569D1"/>
    <w:rsid w:val="00356D16"/>
    <w:rsid w:val="00356D47"/>
    <w:rsid w:val="00357461"/>
    <w:rsid w:val="0035774B"/>
    <w:rsid w:val="003578C1"/>
    <w:rsid w:val="00357C9E"/>
    <w:rsid w:val="003602D4"/>
    <w:rsid w:val="003606E5"/>
    <w:rsid w:val="0036080F"/>
    <w:rsid w:val="00360DDA"/>
    <w:rsid w:val="00361517"/>
    <w:rsid w:val="003622F7"/>
    <w:rsid w:val="00362532"/>
    <w:rsid w:val="0036289A"/>
    <w:rsid w:val="00362E96"/>
    <w:rsid w:val="003630AE"/>
    <w:rsid w:val="00363485"/>
    <w:rsid w:val="00363610"/>
    <w:rsid w:val="00364F41"/>
    <w:rsid w:val="00365A99"/>
    <w:rsid w:val="00365CD6"/>
    <w:rsid w:val="00365D1B"/>
    <w:rsid w:val="00366268"/>
    <w:rsid w:val="0036648E"/>
    <w:rsid w:val="00366AA7"/>
    <w:rsid w:val="00367030"/>
    <w:rsid w:val="00367442"/>
    <w:rsid w:val="00370218"/>
    <w:rsid w:val="003706DC"/>
    <w:rsid w:val="0037072A"/>
    <w:rsid w:val="00371ED7"/>
    <w:rsid w:val="00371F26"/>
    <w:rsid w:val="00372655"/>
    <w:rsid w:val="0037273F"/>
    <w:rsid w:val="003729C5"/>
    <w:rsid w:val="00372F3A"/>
    <w:rsid w:val="00374178"/>
    <w:rsid w:val="00374298"/>
    <w:rsid w:val="0037447B"/>
    <w:rsid w:val="003746BD"/>
    <w:rsid w:val="00375A7D"/>
    <w:rsid w:val="00376B28"/>
    <w:rsid w:val="003772C7"/>
    <w:rsid w:val="00377AD5"/>
    <w:rsid w:val="0038047B"/>
    <w:rsid w:val="00380908"/>
    <w:rsid w:val="00380C38"/>
    <w:rsid w:val="00380D4E"/>
    <w:rsid w:val="00380D8D"/>
    <w:rsid w:val="00380E59"/>
    <w:rsid w:val="003815EE"/>
    <w:rsid w:val="00381CE9"/>
    <w:rsid w:val="0038249F"/>
    <w:rsid w:val="00382802"/>
    <w:rsid w:val="00383A28"/>
    <w:rsid w:val="00383D09"/>
    <w:rsid w:val="00383EF8"/>
    <w:rsid w:val="0038407C"/>
    <w:rsid w:val="00386CBD"/>
    <w:rsid w:val="00387A0C"/>
    <w:rsid w:val="0039187E"/>
    <w:rsid w:val="0039188A"/>
    <w:rsid w:val="003918D9"/>
    <w:rsid w:val="00391B1E"/>
    <w:rsid w:val="00391FBA"/>
    <w:rsid w:val="00392D9F"/>
    <w:rsid w:val="003932FA"/>
    <w:rsid w:val="0039414F"/>
    <w:rsid w:val="00394333"/>
    <w:rsid w:val="00394392"/>
    <w:rsid w:val="00394624"/>
    <w:rsid w:val="00394AC9"/>
    <w:rsid w:val="00394D07"/>
    <w:rsid w:val="00395674"/>
    <w:rsid w:val="0039578B"/>
    <w:rsid w:val="00395B56"/>
    <w:rsid w:val="003960C5"/>
    <w:rsid w:val="00396A3F"/>
    <w:rsid w:val="00396FE1"/>
    <w:rsid w:val="00397783"/>
    <w:rsid w:val="003A057D"/>
    <w:rsid w:val="003A0A0D"/>
    <w:rsid w:val="003A0DAE"/>
    <w:rsid w:val="003A0E95"/>
    <w:rsid w:val="003A1E7A"/>
    <w:rsid w:val="003A226F"/>
    <w:rsid w:val="003A266C"/>
    <w:rsid w:val="003A2BF5"/>
    <w:rsid w:val="003A31A4"/>
    <w:rsid w:val="003A34F0"/>
    <w:rsid w:val="003A3C04"/>
    <w:rsid w:val="003A4737"/>
    <w:rsid w:val="003A4EF2"/>
    <w:rsid w:val="003A62ED"/>
    <w:rsid w:val="003A7960"/>
    <w:rsid w:val="003A7ECB"/>
    <w:rsid w:val="003B0075"/>
    <w:rsid w:val="003B00F2"/>
    <w:rsid w:val="003B0166"/>
    <w:rsid w:val="003B05AE"/>
    <w:rsid w:val="003B0666"/>
    <w:rsid w:val="003B0E91"/>
    <w:rsid w:val="003B123C"/>
    <w:rsid w:val="003B1AA8"/>
    <w:rsid w:val="003B1FBC"/>
    <w:rsid w:val="003B1FE7"/>
    <w:rsid w:val="003B31CE"/>
    <w:rsid w:val="003B465A"/>
    <w:rsid w:val="003B489F"/>
    <w:rsid w:val="003B5E65"/>
    <w:rsid w:val="003B6A42"/>
    <w:rsid w:val="003B6FEB"/>
    <w:rsid w:val="003B74FF"/>
    <w:rsid w:val="003B784C"/>
    <w:rsid w:val="003B7DDA"/>
    <w:rsid w:val="003C0BC6"/>
    <w:rsid w:val="003C0BF4"/>
    <w:rsid w:val="003C1EF6"/>
    <w:rsid w:val="003C1FB4"/>
    <w:rsid w:val="003C26AD"/>
    <w:rsid w:val="003C27A2"/>
    <w:rsid w:val="003C37B3"/>
    <w:rsid w:val="003C3ED7"/>
    <w:rsid w:val="003C3FBA"/>
    <w:rsid w:val="003C43B6"/>
    <w:rsid w:val="003C49BD"/>
    <w:rsid w:val="003C50A2"/>
    <w:rsid w:val="003C525E"/>
    <w:rsid w:val="003C5320"/>
    <w:rsid w:val="003C630D"/>
    <w:rsid w:val="003C6694"/>
    <w:rsid w:val="003C6AD7"/>
    <w:rsid w:val="003C6BC6"/>
    <w:rsid w:val="003C7B26"/>
    <w:rsid w:val="003D0847"/>
    <w:rsid w:val="003D1A2A"/>
    <w:rsid w:val="003D21E5"/>
    <w:rsid w:val="003D2471"/>
    <w:rsid w:val="003D24D2"/>
    <w:rsid w:val="003D2586"/>
    <w:rsid w:val="003D2A14"/>
    <w:rsid w:val="003D35AA"/>
    <w:rsid w:val="003D36D6"/>
    <w:rsid w:val="003D40E2"/>
    <w:rsid w:val="003D4602"/>
    <w:rsid w:val="003D4E67"/>
    <w:rsid w:val="003D5814"/>
    <w:rsid w:val="003D5C64"/>
    <w:rsid w:val="003D6021"/>
    <w:rsid w:val="003D6868"/>
    <w:rsid w:val="003E056F"/>
    <w:rsid w:val="003E0909"/>
    <w:rsid w:val="003E0EEE"/>
    <w:rsid w:val="003E1066"/>
    <w:rsid w:val="003E1079"/>
    <w:rsid w:val="003E166D"/>
    <w:rsid w:val="003E16A8"/>
    <w:rsid w:val="003E179F"/>
    <w:rsid w:val="003E1DE1"/>
    <w:rsid w:val="003E1E78"/>
    <w:rsid w:val="003E27EA"/>
    <w:rsid w:val="003E2A91"/>
    <w:rsid w:val="003E2D99"/>
    <w:rsid w:val="003E33D8"/>
    <w:rsid w:val="003E39DF"/>
    <w:rsid w:val="003E4253"/>
    <w:rsid w:val="003E4368"/>
    <w:rsid w:val="003E43DB"/>
    <w:rsid w:val="003E4443"/>
    <w:rsid w:val="003E4F97"/>
    <w:rsid w:val="003E51FC"/>
    <w:rsid w:val="003E5451"/>
    <w:rsid w:val="003E5913"/>
    <w:rsid w:val="003E5942"/>
    <w:rsid w:val="003E5AA8"/>
    <w:rsid w:val="003E5B41"/>
    <w:rsid w:val="003E6B71"/>
    <w:rsid w:val="003F01F8"/>
    <w:rsid w:val="003F0FF5"/>
    <w:rsid w:val="003F1164"/>
    <w:rsid w:val="003F15A3"/>
    <w:rsid w:val="003F17AE"/>
    <w:rsid w:val="003F1DCD"/>
    <w:rsid w:val="003F5552"/>
    <w:rsid w:val="003F730D"/>
    <w:rsid w:val="003F7972"/>
    <w:rsid w:val="003F7AB0"/>
    <w:rsid w:val="003F7EFA"/>
    <w:rsid w:val="0040078C"/>
    <w:rsid w:val="00400C8C"/>
    <w:rsid w:val="00400F0E"/>
    <w:rsid w:val="004010E4"/>
    <w:rsid w:val="004012D4"/>
    <w:rsid w:val="00401649"/>
    <w:rsid w:val="00401C23"/>
    <w:rsid w:val="00402E23"/>
    <w:rsid w:val="0040385F"/>
    <w:rsid w:val="00404195"/>
    <w:rsid w:val="00404CC6"/>
    <w:rsid w:val="00405516"/>
    <w:rsid w:val="004065CC"/>
    <w:rsid w:val="004110DF"/>
    <w:rsid w:val="004111C6"/>
    <w:rsid w:val="00411B0C"/>
    <w:rsid w:val="004121D0"/>
    <w:rsid w:val="00413772"/>
    <w:rsid w:val="0041395F"/>
    <w:rsid w:val="00413CD2"/>
    <w:rsid w:val="00413D29"/>
    <w:rsid w:val="00414232"/>
    <w:rsid w:val="004146E1"/>
    <w:rsid w:val="004157FF"/>
    <w:rsid w:val="004159F3"/>
    <w:rsid w:val="00416036"/>
    <w:rsid w:val="0041609A"/>
    <w:rsid w:val="0041692C"/>
    <w:rsid w:val="004174EC"/>
    <w:rsid w:val="004179DA"/>
    <w:rsid w:val="00417EC1"/>
    <w:rsid w:val="00420F37"/>
    <w:rsid w:val="00421482"/>
    <w:rsid w:val="00421898"/>
    <w:rsid w:val="00421992"/>
    <w:rsid w:val="00421A62"/>
    <w:rsid w:val="00421C9F"/>
    <w:rsid w:val="004221D8"/>
    <w:rsid w:val="004227C9"/>
    <w:rsid w:val="00422B90"/>
    <w:rsid w:val="00423091"/>
    <w:rsid w:val="00423B5F"/>
    <w:rsid w:val="00424D5A"/>
    <w:rsid w:val="00425CEC"/>
    <w:rsid w:val="00426151"/>
    <w:rsid w:val="0042680E"/>
    <w:rsid w:val="00427A81"/>
    <w:rsid w:val="00427B3A"/>
    <w:rsid w:val="00427BBC"/>
    <w:rsid w:val="00427E1A"/>
    <w:rsid w:val="00430691"/>
    <w:rsid w:val="004307F8"/>
    <w:rsid w:val="00430B1B"/>
    <w:rsid w:val="00430F8C"/>
    <w:rsid w:val="00431E63"/>
    <w:rsid w:val="00432294"/>
    <w:rsid w:val="0043247F"/>
    <w:rsid w:val="004325F8"/>
    <w:rsid w:val="00432B70"/>
    <w:rsid w:val="00432F72"/>
    <w:rsid w:val="00433291"/>
    <w:rsid w:val="004353C1"/>
    <w:rsid w:val="00435A3A"/>
    <w:rsid w:val="00436994"/>
    <w:rsid w:val="00436DE3"/>
    <w:rsid w:val="00437A87"/>
    <w:rsid w:val="00437C49"/>
    <w:rsid w:val="00437F2B"/>
    <w:rsid w:val="00440250"/>
    <w:rsid w:val="00440AED"/>
    <w:rsid w:val="00440DA1"/>
    <w:rsid w:val="00441315"/>
    <w:rsid w:val="004413FF"/>
    <w:rsid w:val="00441434"/>
    <w:rsid w:val="00441CB6"/>
    <w:rsid w:val="004421E5"/>
    <w:rsid w:val="00442B03"/>
    <w:rsid w:val="0044319B"/>
    <w:rsid w:val="004451F5"/>
    <w:rsid w:val="0044595F"/>
    <w:rsid w:val="00445C9F"/>
    <w:rsid w:val="00446394"/>
    <w:rsid w:val="00447A48"/>
    <w:rsid w:val="004507B0"/>
    <w:rsid w:val="00450AF9"/>
    <w:rsid w:val="00450BBA"/>
    <w:rsid w:val="00450F0A"/>
    <w:rsid w:val="00451414"/>
    <w:rsid w:val="00451B28"/>
    <w:rsid w:val="00451BE7"/>
    <w:rsid w:val="00451D96"/>
    <w:rsid w:val="0045291E"/>
    <w:rsid w:val="00452BD0"/>
    <w:rsid w:val="00452D40"/>
    <w:rsid w:val="0045340E"/>
    <w:rsid w:val="00453E4F"/>
    <w:rsid w:val="00453EF5"/>
    <w:rsid w:val="00454921"/>
    <w:rsid w:val="00455C33"/>
    <w:rsid w:val="00456068"/>
    <w:rsid w:val="00456214"/>
    <w:rsid w:val="00460517"/>
    <w:rsid w:val="0046067F"/>
    <w:rsid w:val="00460A16"/>
    <w:rsid w:val="00460E8F"/>
    <w:rsid w:val="00461422"/>
    <w:rsid w:val="00461F8F"/>
    <w:rsid w:val="004622D8"/>
    <w:rsid w:val="00462617"/>
    <w:rsid w:val="0046270A"/>
    <w:rsid w:val="00462A84"/>
    <w:rsid w:val="00462D11"/>
    <w:rsid w:val="004632C4"/>
    <w:rsid w:val="00463437"/>
    <w:rsid w:val="004637D3"/>
    <w:rsid w:val="0046395A"/>
    <w:rsid w:val="004639A0"/>
    <w:rsid w:val="00463FB9"/>
    <w:rsid w:val="004646A0"/>
    <w:rsid w:val="004659C7"/>
    <w:rsid w:val="00466257"/>
    <w:rsid w:val="00466414"/>
    <w:rsid w:val="004668DB"/>
    <w:rsid w:val="0046697C"/>
    <w:rsid w:val="00466B79"/>
    <w:rsid w:val="00466F57"/>
    <w:rsid w:val="00467FD3"/>
    <w:rsid w:val="004709D4"/>
    <w:rsid w:val="0047205F"/>
    <w:rsid w:val="00472E79"/>
    <w:rsid w:val="00473AF2"/>
    <w:rsid w:val="00473B22"/>
    <w:rsid w:val="00473D43"/>
    <w:rsid w:val="00473E76"/>
    <w:rsid w:val="00474507"/>
    <w:rsid w:val="004745D9"/>
    <w:rsid w:val="00474F27"/>
    <w:rsid w:val="00475DDA"/>
    <w:rsid w:val="004763B5"/>
    <w:rsid w:val="004763F5"/>
    <w:rsid w:val="004764E3"/>
    <w:rsid w:val="00476722"/>
    <w:rsid w:val="00477057"/>
    <w:rsid w:val="00477436"/>
    <w:rsid w:val="00477B81"/>
    <w:rsid w:val="00477D1D"/>
    <w:rsid w:val="0048004C"/>
    <w:rsid w:val="00480497"/>
    <w:rsid w:val="00480B75"/>
    <w:rsid w:val="00481582"/>
    <w:rsid w:val="00482119"/>
    <w:rsid w:val="00482EA5"/>
    <w:rsid w:val="004836F4"/>
    <w:rsid w:val="00483797"/>
    <w:rsid w:val="004841D4"/>
    <w:rsid w:val="00484C13"/>
    <w:rsid w:val="00484CF1"/>
    <w:rsid w:val="00485315"/>
    <w:rsid w:val="004858B2"/>
    <w:rsid w:val="00485D49"/>
    <w:rsid w:val="00485E15"/>
    <w:rsid w:val="00486288"/>
    <w:rsid w:val="0048638C"/>
    <w:rsid w:val="004867A6"/>
    <w:rsid w:val="004874F5"/>
    <w:rsid w:val="00487FC0"/>
    <w:rsid w:val="004903B3"/>
    <w:rsid w:val="004912C3"/>
    <w:rsid w:val="004913DF"/>
    <w:rsid w:val="00491632"/>
    <w:rsid w:val="00491BE5"/>
    <w:rsid w:val="00492FD2"/>
    <w:rsid w:val="0049301F"/>
    <w:rsid w:val="00493402"/>
    <w:rsid w:val="004937BA"/>
    <w:rsid w:val="0049390A"/>
    <w:rsid w:val="00493D43"/>
    <w:rsid w:val="00494665"/>
    <w:rsid w:val="00495E44"/>
    <w:rsid w:val="00495E86"/>
    <w:rsid w:val="00495FE0"/>
    <w:rsid w:val="0049686C"/>
    <w:rsid w:val="00496947"/>
    <w:rsid w:val="00497429"/>
    <w:rsid w:val="00497810"/>
    <w:rsid w:val="004A0451"/>
    <w:rsid w:val="004A082C"/>
    <w:rsid w:val="004A0F41"/>
    <w:rsid w:val="004A26B1"/>
    <w:rsid w:val="004A272A"/>
    <w:rsid w:val="004A34CB"/>
    <w:rsid w:val="004A3B26"/>
    <w:rsid w:val="004A3C5D"/>
    <w:rsid w:val="004A3E75"/>
    <w:rsid w:val="004A44C6"/>
    <w:rsid w:val="004A4B56"/>
    <w:rsid w:val="004A51AE"/>
    <w:rsid w:val="004A5662"/>
    <w:rsid w:val="004A5714"/>
    <w:rsid w:val="004A5816"/>
    <w:rsid w:val="004A6701"/>
    <w:rsid w:val="004A69EF"/>
    <w:rsid w:val="004A6BF1"/>
    <w:rsid w:val="004A7519"/>
    <w:rsid w:val="004A78F4"/>
    <w:rsid w:val="004A792C"/>
    <w:rsid w:val="004B05B0"/>
    <w:rsid w:val="004B0C29"/>
    <w:rsid w:val="004B0DBC"/>
    <w:rsid w:val="004B2033"/>
    <w:rsid w:val="004B228F"/>
    <w:rsid w:val="004B393F"/>
    <w:rsid w:val="004B4678"/>
    <w:rsid w:val="004B5923"/>
    <w:rsid w:val="004B648A"/>
    <w:rsid w:val="004B72B2"/>
    <w:rsid w:val="004B7573"/>
    <w:rsid w:val="004C0B15"/>
    <w:rsid w:val="004C10BB"/>
    <w:rsid w:val="004C12EB"/>
    <w:rsid w:val="004C1A10"/>
    <w:rsid w:val="004C21FA"/>
    <w:rsid w:val="004C2FAA"/>
    <w:rsid w:val="004C3C43"/>
    <w:rsid w:val="004C4BFD"/>
    <w:rsid w:val="004C534F"/>
    <w:rsid w:val="004C55FA"/>
    <w:rsid w:val="004C59D9"/>
    <w:rsid w:val="004C5D69"/>
    <w:rsid w:val="004C61EE"/>
    <w:rsid w:val="004C6E39"/>
    <w:rsid w:val="004C7A2B"/>
    <w:rsid w:val="004D0087"/>
    <w:rsid w:val="004D0181"/>
    <w:rsid w:val="004D0FB9"/>
    <w:rsid w:val="004D1CD9"/>
    <w:rsid w:val="004D1D8F"/>
    <w:rsid w:val="004D3165"/>
    <w:rsid w:val="004D3784"/>
    <w:rsid w:val="004D3F21"/>
    <w:rsid w:val="004D40E9"/>
    <w:rsid w:val="004D4584"/>
    <w:rsid w:val="004D5359"/>
    <w:rsid w:val="004D5415"/>
    <w:rsid w:val="004D54FA"/>
    <w:rsid w:val="004D5A06"/>
    <w:rsid w:val="004D5D5E"/>
    <w:rsid w:val="004D65E8"/>
    <w:rsid w:val="004D6714"/>
    <w:rsid w:val="004D68A8"/>
    <w:rsid w:val="004D6917"/>
    <w:rsid w:val="004D69A2"/>
    <w:rsid w:val="004D6ADB"/>
    <w:rsid w:val="004D6FF8"/>
    <w:rsid w:val="004D7221"/>
    <w:rsid w:val="004D75ED"/>
    <w:rsid w:val="004D77F7"/>
    <w:rsid w:val="004D7D9B"/>
    <w:rsid w:val="004E021A"/>
    <w:rsid w:val="004E0270"/>
    <w:rsid w:val="004E12DD"/>
    <w:rsid w:val="004E16FA"/>
    <w:rsid w:val="004E2766"/>
    <w:rsid w:val="004E2B5E"/>
    <w:rsid w:val="004E3521"/>
    <w:rsid w:val="004E35A9"/>
    <w:rsid w:val="004E3996"/>
    <w:rsid w:val="004E4735"/>
    <w:rsid w:val="004E49F7"/>
    <w:rsid w:val="004E558D"/>
    <w:rsid w:val="004E59A0"/>
    <w:rsid w:val="004E5D36"/>
    <w:rsid w:val="004E6F07"/>
    <w:rsid w:val="004E7FA4"/>
    <w:rsid w:val="004F0E6A"/>
    <w:rsid w:val="004F1E79"/>
    <w:rsid w:val="004F3CD8"/>
    <w:rsid w:val="004F4386"/>
    <w:rsid w:val="004F5075"/>
    <w:rsid w:val="004F55A5"/>
    <w:rsid w:val="004F5EF6"/>
    <w:rsid w:val="004F6806"/>
    <w:rsid w:val="004F6869"/>
    <w:rsid w:val="004F68C1"/>
    <w:rsid w:val="004F76E9"/>
    <w:rsid w:val="0050036B"/>
    <w:rsid w:val="00500525"/>
    <w:rsid w:val="005009AD"/>
    <w:rsid w:val="00500EFA"/>
    <w:rsid w:val="00500F15"/>
    <w:rsid w:val="00501124"/>
    <w:rsid w:val="00501614"/>
    <w:rsid w:val="005020A8"/>
    <w:rsid w:val="0050268F"/>
    <w:rsid w:val="005029DC"/>
    <w:rsid w:val="00502A33"/>
    <w:rsid w:val="00503A44"/>
    <w:rsid w:val="00503D8D"/>
    <w:rsid w:val="0050443A"/>
    <w:rsid w:val="00504EAE"/>
    <w:rsid w:val="005051C0"/>
    <w:rsid w:val="005055AD"/>
    <w:rsid w:val="005063DE"/>
    <w:rsid w:val="005064DA"/>
    <w:rsid w:val="00506F51"/>
    <w:rsid w:val="00510207"/>
    <w:rsid w:val="005106D0"/>
    <w:rsid w:val="00511679"/>
    <w:rsid w:val="0051179F"/>
    <w:rsid w:val="00511823"/>
    <w:rsid w:val="00512DA6"/>
    <w:rsid w:val="00512FCA"/>
    <w:rsid w:val="00513419"/>
    <w:rsid w:val="00513605"/>
    <w:rsid w:val="00513B97"/>
    <w:rsid w:val="0051412F"/>
    <w:rsid w:val="00514A63"/>
    <w:rsid w:val="00516D00"/>
    <w:rsid w:val="00516D17"/>
    <w:rsid w:val="00516E03"/>
    <w:rsid w:val="00517550"/>
    <w:rsid w:val="005177FD"/>
    <w:rsid w:val="00517846"/>
    <w:rsid w:val="0051792C"/>
    <w:rsid w:val="00517EFF"/>
    <w:rsid w:val="00520DE0"/>
    <w:rsid w:val="00521166"/>
    <w:rsid w:val="0052188C"/>
    <w:rsid w:val="005223A5"/>
    <w:rsid w:val="005235A7"/>
    <w:rsid w:val="0052367A"/>
    <w:rsid w:val="0052390E"/>
    <w:rsid w:val="005242D5"/>
    <w:rsid w:val="00524425"/>
    <w:rsid w:val="00524FB8"/>
    <w:rsid w:val="005253F2"/>
    <w:rsid w:val="00526058"/>
    <w:rsid w:val="005262C5"/>
    <w:rsid w:val="00526543"/>
    <w:rsid w:val="0052659D"/>
    <w:rsid w:val="00526BB4"/>
    <w:rsid w:val="005273E1"/>
    <w:rsid w:val="005279C4"/>
    <w:rsid w:val="00527E80"/>
    <w:rsid w:val="005300C5"/>
    <w:rsid w:val="00530E97"/>
    <w:rsid w:val="0053101F"/>
    <w:rsid w:val="00531E1E"/>
    <w:rsid w:val="00532008"/>
    <w:rsid w:val="0053216D"/>
    <w:rsid w:val="005323CF"/>
    <w:rsid w:val="00532D36"/>
    <w:rsid w:val="00532E84"/>
    <w:rsid w:val="005333DA"/>
    <w:rsid w:val="005340D0"/>
    <w:rsid w:val="005340F7"/>
    <w:rsid w:val="005348BA"/>
    <w:rsid w:val="005348D0"/>
    <w:rsid w:val="00534B1C"/>
    <w:rsid w:val="00536177"/>
    <w:rsid w:val="00536724"/>
    <w:rsid w:val="00536986"/>
    <w:rsid w:val="00536D3F"/>
    <w:rsid w:val="00537999"/>
    <w:rsid w:val="00537B2D"/>
    <w:rsid w:val="005407A3"/>
    <w:rsid w:val="00540871"/>
    <w:rsid w:val="00540D3F"/>
    <w:rsid w:val="0054177E"/>
    <w:rsid w:val="00541D06"/>
    <w:rsid w:val="00541D32"/>
    <w:rsid w:val="00542730"/>
    <w:rsid w:val="0054366F"/>
    <w:rsid w:val="00543B15"/>
    <w:rsid w:val="00544289"/>
    <w:rsid w:val="005463A7"/>
    <w:rsid w:val="005466E6"/>
    <w:rsid w:val="005468BC"/>
    <w:rsid w:val="00546915"/>
    <w:rsid w:val="00547006"/>
    <w:rsid w:val="005473F0"/>
    <w:rsid w:val="00547879"/>
    <w:rsid w:val="00550BFD"/>
    <w:rsid w:val="00550CB5"/>
    <w:rsid w:val="0055121C"/>
    <w:rsid w:val="005518A8"/>
    <w:rsid w:val="00551BD3"/>
    <w:rsid w:val="00552840"/>
    <w:rsid w:val="00552906"/>
    <w:rsid w:val="00552CA2"/>
    <w:rsid w:val="00552EE7"/>
    <w:rsid w:val="005533A5"/>
    <w:rsid w:val="00554303"/>
    <w:rsid w:val="0055440E"/>
    <w:rsid w:val="00554457"/>
    <w:rsid w:val="005548B3"/>
    <w:rsid w:val="005549EA"/>
    <w:rsid w:val="00555186"/>
    <w:rsid w:val="00555213"/>
    <w:rsid w:val="00556387"/>
    <w:rsid w:val="00556B03"/>
    <w:rsid w:val="00556E9B"/>
    <w:rsid w:val="00560011"/>
    <w:rsid w:val="00560017"/>
    <w:rsid w:val="005601C8"/>
    <w:rsid w:val="0056035A"/>
    <w:rsid w:val="00560382"/>
    <w:rsid w:val="0056065E"/>
    <w:rsid w:val="00560C36"/>
    <w:rsid w:val="005615F6"/>
    <w:rsid w:val="00561A1A"/>
    <w:rsid w:val="0056220E"/>
    <w:rsid w:val="00562D49"/>
    <w:rsid w:val="005643DD"/>
    <w:rsid w:val="00564A76"/>
    <w:rsid w:val="00564AD9"/>
    <w:rsid w:val="00564C18"/>
    <w:rsid w:val="00564E64"/>
    <w:rsid w:val="00565907"/>
    <w:rsid w:val="00565A37"/>
    <w:rsid w:val="00565BCA"/>
    <w:rsid w:val="00565F02"/>
    <w:rsid w:val="00566944"/>
    <w:rsid w:val="00566DFB"/>
    <w:rsid w:val="00567AFA"/>
    <w:rsid w:val="00570AB7"/>
    <w:rsid w:val="00571255"/>
    <w:rsid w:val="005713E4"/>
    <w:rsid w:val="00571475"/>
    <w:rsid w:val="005718DA"/>
    <w:rsid w:val="00571EF9"/>
    <w:rsid w:val="00572CFD"/>
    <w:rsid w:val="00572D5E"/>
    <w:rsid w:val="00573486"/>
    <w:rsid w:val="00574905"/>
    <w:rsid w:val="005752B2"/>
    <w:rsid w:val="0057536C"/>
    <w:rsid w:val="00575CFC"/>
    <w:rsid w:val="00576A16"/>
    <w:rsid w:val="00576AF8"/>
    <w:rsid w:val="00576B13"/>
    <w:rsid w:val="00576C6D"/>
    <w:rsid w:val="00576D64"/>
    <w:rsid w:val="00576D7F"/>
    <w:rsid w:val="00577116"/>
    <w:rsid w:val="0057747A"/>
    <w:rsid w:val="00577A63"/>
    <w:rsid w:val="00577CE7"/>
    <w:rsid w:val="00577F9A"/>
    <w:rsid w:val="005803C4"/>
    <w:rsid w:val="005824D6"/>
    <w:rsid w:val="005828B9"/>
    <w:rsid w:val="005828EA"/>
    <w:rsid w:val="0058299E"/>
    <w:rsid w:val="005830AC"/>
    <w:rsid w:val="00583995"/>
    <w:rsid w:val="00583A78"/>
    <w:rsid w:val="00583B90"/>
    <w:rsid w:val="00584232"/>
    <w:rsid w:val="00584D01"/>
    <w:rsid w:val="00585B33"/>
    <w:rsid w:val="005866F8"/>
    <w:rsid w:val="00586814"/>
    <w:rsid w:val="00586AE4"/>
    <w:rsid w:val="00586CB1"/>
    <w:rsid w:val="00586D4D"/>
    <w:rsid w:val="005872CA"/>
    <w:rsid w:val="0058751A"/>
    <w:rsid w:val="00587C89"/>
    <w:rsid w:val="00587D1A"/>
    <w:rsid w:val="00587E90"/>
    <w:rsid w:val="00590320"/>
    <w:rsid w:val="00591F10"/>
    <w:rsid w:val="00592564"/>
    <w:rsid w:val="0059380A"/>
    <w:rsid w:val="00593E51"/>
    <w:rsid w:val="005942CC"/>
    <w:rsid w:val="005946D0"/>
    <w:rsid w:val="0059473E"/>
    <w:rsid w:val="00594A6E"/>
    <w:rsid w:val="00595CE0"/>
    <w:rsid w:val="005964BC"/>
    <w:rsid w:val="0059701E"/>
    <w:rsid w:val="00597C0E"/>
    <w:rsid w:val="005A0FE5"/>
    <w:rsid w:val="005A10F8"/>
    <w:rsid w:val="005A1208"/>
    <w:rsid w:val="005A1F60"/>
    <w:rsid w:val="005A1FCD"/>
    <w:rsid w:val="005A32B4"/>
    <w:rsid w:val="005A331B"/>
    <w:rsid w:val="005A3AAA"/>
    <w:rsid w:val="005A3E05"/>
    <w:rsid w:val="005A4CFE"/>
    <w:rsid w:val="005A55DB"/>
    <w:rsid w:val="005A5E27"/>
    <w:rsid w:val="005A62CD"/>
    <w:rsid w:val="005A6A8F"/>
    <w:rsid w:val="005A6D85"/>
    <w:rsid w:val="005A71F2"/>
    <w:rsid w:val="005B034F"/>
    <w:rsid w:val="005B0416"/>
    <w:rsid w:val="005B08A5"/>
    <w:rsid w:val="005B0CF9"/>
    <w:rsid w:val="005B14B5"/>
    <w:rsid w:val="005B1767"/>
    <w:rsid w:val="005B176B"/>
    <w:rsid w:val="005B208D"/>
    <w:rsid w:val="005B22D1"/>
    <w:rsid w:val="005B23E6"/>
    <w:rsid w:val="005B33EB"/>
    <w:rsid w:val="005B3482"/>
    <w:rsid w:val="005B378F"/>
    <w:rsid w:val="005B3B38"/>
    <w:rsid w:val="005B3BA4"/>
    <w:rsid w:val="005B3CE4"/>
    <w:rsid w:val="005B436F"/>
    <w:rsid w:val="005B51CD"/>
    <w:rsid w:val="005B568D"/>
    <w:rsid w:val="005B5881"/>
    <w:rsid w:val="005B65FA"/>
    <w:rsid w:val="005B69F6"/>
    <w:rsid w:val="005B6B93"/>
    <w:rsid w:val="005B733D"/>
    <w:rsid w:val="005B7B2E"/>
    <w:rsid w:val="005B7CE6"/>
    <w:rsid w:val="005C0098"/>
    <w:rsid w:val="005C1B14"/>
    <w:rsid w:val="005C20C1"/>
    <w:rsid w:val="005C2521"/>
    <w:rsid w:val="005C2D39"/>
    <w:rsid w:val="005C356F"/>
    <w:rsid w:val="005C3DC4"/>
    <w:rsid w:val="005C4385"/>
    <w:rsid w:val="005C44B5"/>
    <w:rsid w:val="005C564B"/>
    <w:rsid w:val="005C6171"/>
    <w:rsid w:val="005C619B"/>
    <w:rsid w:val="005C7228"/>
    <w:rsid w:val="005C7B72"/>
    <w:rsid w:val="005C7B75"/>
    <w:rsid w:val="005D08F2"/>
    <w:rsid w:val="005D1B5D"/>
    <w:rsid w:val="005D1CFC"/>
    <w:rsid w:val="005D21B8"/>
    <w:rsid w:val="005D2816"/>
    <w:rsid w:val="005D3882"/>
    <w:rsid w:val="005D3C85"/>
    <w:rsid w:val="005D4DB6"/>
    <w:rsid w:val="005D539A"/>
    <w:rsid w:val="005D59EF"/>
    <w:rsid w:val="005D64E5"/>
    <w:rsid w:val="005D655C"/>
    <w:rsid w:val="005D6B75"/>
    <w:rsid w:val="005D6DD7"/>
    <w:rsid w:val="005D73EE"/>
    <w:rsid w:val="005D7867"/>
    <w:rsid w:val="005D7EFD"/>
    <w:rsid w:val="005E193F"/>
    <w:rsid w:val="005E1953"/>
    <w:rsid w:val="005E1EF7"/>
    <w:rsid w:val="005E2ACD"/>
    <w:rsid w:val="005E2B8E"/>
    <w:rsid w:val="005E2C72"/>
    <w:rsid w:val="005E32A0"/>
    <w:rsid w:val="005E3FCE"/>
    <w:rsid w:val="005E4F17"/>
    <w:rsid w:val="005E577F"/>
    <w:rsid w:val="005E5E86"/>
    <w:rsid w:val="005E5FD1"/>
    <w:rsid w:val="005E7A99"/>
    <w:rsid w:val="005E7BD5"/>
    <w:rsid w:val="005F087D"/>
    <w:rsid w:val="005F1547"/>
    <w:rsid w:val="005F1A81"/>
    <w:rsid w:val="005F1B84"/>
    <w:rsid w:val="005F1C3F"/>
    <w:rsid w:val="005F215B"/>
    <w:rsid w:val="005F293B"/>
    <w:rsid w:val="005F2AA6"/>
    <w:rsid w:val="005F2E31"/>
    <w:rsid w:val="005F3208"/>
    <w:rsid w:val="005F3409"/>
    <w:rsid w:val="005F356B"/>
    <w:rsid w:val="005F3733"/>
    <w:rsid w:val="005F38E4"/>
    <w:rsid w:val="005F3D98"/>
    <w:rsid w:val="005F4699"/>
    <w:rsid w:val="005F47BD"/>
    <w:rsid w:val="005F52CE"/>
    <w:rsid w:val="005F550B"/>
    <w:rsid w:val="005F5849"/>
    <w:rsid w:val="005F5D62"/>
    <w:rsid w:val="005F6A3B"/>
    <w:rsid w:val="005F6C3A"/>
    <w:rsid w:val="005F6FBE"/>
    <w:rsid w:val="005F7503"/>
    <w:rsid w:val="005F75FD"/>
    <w:rsid w:val="005F7B36"/>
    <w:rsid w:val="005F7F7B"/>
    <w:rsid w:val="00600674"/>
    <w:rsid w:val="00600A8C"/>
    <w:rsid w:val="00601A72"/>
    <w:rsid w:val="00601B9F"/>
    <w:rsid w:val="006024E1"/>
    <w:rsid w:val="00602BE2"/>
    <w:rsid w:val="006031CD"/>
    <w:rsid w:val="0060399D"/>
    <w:rsid w:val="00603B36"/>
    <w:rsid w:val="00603E2C"/>
    <w:rsid w:val="006040A6"/>
    <w:rsid w:val="00604999"/>
    <w:rsid w:val="0060499F"/>
    <w:rsid w:val="00604AFE"/>
    <w:rsid w:val="0060510B"/>
    <w:rsid w:val="00605601"/>
    <w:rsid w:val="0060588C"/>
    <w:rsid w:val="0060605E"/>
    <w:rsid w:val="00606136"/>
    <w:rsid w:val="006063DC"/>
    <w:rsid w:val="006068C2"/>
    <w:rsid w:val="00606901"/>
    <w:rsid w:val="00606F41"/>
    <w:rsid w:val="006072BC"/>
    <w:rsid w:val="006073EA"/>
    <w:rsid w:val="006077A8"/>
    <w:rsid w:val="0060788D"/>
    <w:rsid w:val="0061081A"/>
    <w:rsid w:val="006113D8"/>
    <w:rsid w:val="00611802"/>
    <w:rsid w:val="006118A1"/>
    <w:rsid w:val="0061192B"/>
    <w:rsid w:val="006119B6"/>
    <w:rsid w:val="00611E20"/>
    <w:rsid w:val="006130E1"/>
    <w:rsid w:val="00614201"/>
    <w:rsid w:val="0061504D"/>
    <w:rsid w:val="00615734"/>
    <w:rsid w:val="00616823"/>
    <w:rsid w:val="00616D44"/>
    <w:rsid w:val="0061734D"/>
    <w:rsid w:val="00617629"/>
    <w:rsid w:val="00617E4E"/>
    <w:rsid w:val="006205AC"/>
    <w:rsid w:val="0062092E"/>
    <w:rsid w:val="0062095D"/>
    <w:rsid w:val="006209DD"/>
    <w:rsid w:val="006213BE"/>
    <w:rsid w:val="006215FD"/>
    <w:rsid w:val="0062189E"/>
    <w:rsid w:val="00622E65"/>
    <w:rsid w:val="00623467"/>
    <w:rsid w:val="00623523"/>
    <w:rsid w:val="006238E0"/>
    <w:rsid w:val="00623D03"/>
    <w:rsid w:val="00623FA1"/>
    <w:rsid w:val="006240DE"/>
    <w:rsid w:val="0062492B"/>
    <w:rsid w:val="006257E8"/>
    <w:rsid w:val="006274C2"/>
    <w:rsid w:val="00627B3C"/>
    <w:rsid w:val="00630681"/>
    <w:rsid w:val="00630D0B"/>
    <w:rsid w:val="00631032"/>
    <w:rsid w:val="0063125F"/>
    <w:rsid w:val="00632863"/>
    <w:rsid w:val="006335AD"/>
    <w:rsid w:val="006351DB"/>
    <w:rsid w:val="00636168"/>
    <w:rsid w:val="006374B3"/>
    <w:rsid w:val="00637702"/>
    <w:rsid w:val="00637EE7"/>
    <w:rsid w:val="00640E78"/>
    <w:rsid w:val="00641248"/>
    <w:rsid w:val="006417AB"/>
    <w:rsid w:val="0064216E"/>
    <w:rsid w:val="00642303"/>
    <w:rsid w:val="00642AA3"/>
    <w:rsid w:val="00642B67"/>
    <w:rsid w:val="00643678"/>
    <w:rsid w:val="006438E4"/>
    <w:rsid w:val="00644322"/>
    <w:rsid w:val="00644514"/>
    <w:rsid w:val="00644C7D"/>
    <w:rsid w:val="0064527F"/>
    <w:rsid w:val="006454BF"/>
    <w:rsid w:val="00646080"/>
    <w:rsid w:val="00647145"/>
    <w:rsid w:val="00647333"/>
    <w:rsid w:val="00647B6F"/>
    <w:rsid w:val="00647E36"/>
    <w:rsid w:val="00650360"/>
    <w:rsid w:val="006512D4"/>
    <w:rsid w:val="00651CF8"/>
    <w:rsid w:val="006520DD"/>
    <w:rsid w:val="00652BA1"/>
    <w:rsid w:val="0065324F"/>
    <w:rsid w:val="006541C4"/>
    <w:rsid w:val="00654639"/>
    <w:rsid w:val="006552AF"/>
    <w:rsid w:val="00655AFC"/>
    <w:rsid w:val="006563BD"/>
    <w:rsid w:val="006564A3"/>
    <w:rsid w:val="00657DFD"/>
    <w:rsid w:val="00660FA9"/>
    <w:rsid w:val="00661188"/>
    <w:rsid w:val="00661229"/>
    <w:rsid w:val="00661D09"/>
    <w:rsid w:val="006625D8"/>
    <w:rsid w:val="00662725"/>
    <w:rsid w:val="00663A73"/>
    <w:rsid w:val="0066423D"/>
    <w:rsid w:val="0066475E"/>
    <w:rsid w:val="006655E6"/>
    <w:rsid w:val="0066587C"/>
    <w:rsid w:val="00665E63"/>
    <w:rsid w:val="00665FEC"/>
    <w:rsid w:val="0066629B"/>
    <w:rsid w:val="006664BC"/>
    <w:rsid w:val="00667B46"/>
    <w:rsid w:val="0067047C"/>
    <w:rsid w:val="00670776"/>
    <w:rsid w:val="006708F1"/>
    <w:rsid w:val="006712C5"/>
    <w:rsid w:val="00671604"/>
    <w:rsid w:val="006720E2"/>
    <w:rsid w:val="006731AD"/>
    <w:rsid w:val="0067398A"/>
    <w:rsid w:val="006740D4"/>
    <w:rsid w:val="00674E2F"/>
    <w:rsid w:val="00675024"/>
    <w:rsid w:val="00675423"/>
    <w:rsid w:val="00676284"/>
    <w:rsid w:val="00676C31"/>
    <w:rsid w:val="00676E91"/>
    <w:rsid w:val="00677092"/>
    <w:rsid w:val="006775E5"/>
    <w:rsid w:val="0067775B"/>
    <w:rsid w:val="00677EA0"/>
    <w:rsid w:val="0068054C"/>
    <w:rsid w:val="00680892"/>
    <w:rsid w:val="00681591"/>
    <w:rsid w:val="006816CC"/>
    <w:rsid w:val="0068294B"/>
    <w:rsid w:val="00683E38"/>
    <w:rsid w:val="0068411E"/>
    <w:rsid w:val="0068414C"/>
    <w:rsid w:val="00685CDB"/>
    <w:rsid w:val="00686035"/>
    <w:rsid w:val="00686546"/>
    <w:rsid w:val="00687308"/>
    <w:rsid w:val="006876A3"/>
    <w:rsid w:val="006877C5"/>
    <w:rsid w:val="00687CB7"/>
    <w:rsid w:val="006900A0"/>
    <w:rsid w:val="00690252"/>
    <w:rsid w:val="0069071F"/>
    <w:rsid w:val="006909D2"/>
    <w:rsid w:val="00690A2C"/>
    <w:rsid w:val="00690BC0"/>
    <w:rsid w:val="00691979"/>
    <w:rsid w:val="00691A7E"/>
    <w:rsid w:val="00691B81"/>
    <w:rsid w:val="0069285B"/>
    <w:rsid w:val="00692902"/>
    <w:rsid w:val="00693210"/>
    <w:rsid w:val="00693A93"/>
    <w:rsid w:val="00693CF3"/>
    <w:rsid w:val="006942DA"/>
    <w:rsid w:val="00694C46"/>
    <w:rsid w:val="00694D5C"/>
    <w:rsid w:val="00695413"/>
    <w:rsid w:val="006954D9"/>
    <w:rsid w:val="006960A7"/>
    <w:rsid w:val="006965C8"/>
    <w:rsid w:val="00696BB1"/>
    <w:rsid w:val="00696FE2"/>
    <w:rsid w:val="00697280"/>
    <w:rsid w:val="006A007E"/>
    <w:rsid w:val="006A07A2"/>
    <w:rsid w:val="006A10FB"/>
    <w:rsid w:val="006A16B8"/>
    <w:rsid w:val="006A39FD"/>
    <w:rsid w:val="006A3A68"/>
    <w:rsid w:val="006A3FD6"/>
    <w:rsid w:val="006A3FEF"/>
    <w:rsid w:val="006A5182"/>
    <w:rsid w:val="006A5D38"/>
    <w:rsid w:val="006A6070"/>
    <w:rsid w:val="006A6C5F"/>
    <w:rsid w:val="006A73F0"/>
    <w:rsid w:val="006A7E7B"/>
    <w:rsid w:val="006B0026"/>
    <w:rsid w:val="006B0493"/>
    <w:rsid w:val="006B0D7C"/>
    <w:rsid w:val="006B0F84"/>
    <w:rsid w:val="006B2601"/>
    <w:rsid w:val="006B2ACD"/>
    <w:rsid w:val="006B30B1"/>
    <w:rsid w:val="006B40CC"/>
    <w:rsid w:val="006B4884"/>
    <w:rsid w:val="006B49C0"/>
    <w:rsid w:val="006B506B"/>
    <w:rsid w:val="006B53C5"/>
    <w:rsid w:val="006B5B23"/>
    <w:rsid w:val="006B64CC"/>
    <w:rsid w:val="006B6C65"/>
    <w:rsid w:val="006B76C7"/>
    <w:rsid w:val="006C0B74"/>
    <w:rsid w:val="006C1650"/>
    <w:rsid w:val="006C1C7D"/>
    <w:rsid w:val="006C214B"/>
    <w:rsid w:val="006C277A"/>
    <w:rsid w:val="006C27A5"/>
    <w:rsid w:val="006C2C9D"/>
    <w:rsid w:val="006C2CFF"/>
    <w:rsid w:val="006C2E21"/>
    <w:rsid w:val="006C3A59"/>
    <w:rsid w:val="006C3D14"/>
    <w:rsid w:val="006C476B"/>
    <w:rsid w:val="006C4AF3"/>
    <w:rsid w:val="006C4E20"/>
    <w:rsid w:val="006C4FF5"/>
    <w:rsid w:val="006C5767"/>
    <w:rsid w:val="006C601C"/>
    <w:rsid w:val="006C6458"/>
    <w:rsid w:val="006C6ADA"/>
    <w:rsid w:val="006C758D"/>
    <w:rsid w:val="006C78FA"/>
    <w:rsid w:val="006C7F03"/>
    <w:rsid w:val="006D0551"/>
    <w:rsid w:val="006D0A40"/>
    <w:rsid w:val="006D0D60"/>
    <w:rsid w:val="006D0F33"/>
    <w:rsid w:val="006D17FD"/>
    <w:rsid w:val="006D1EAE"/>
    <w:rsid w:val="006D1F87"/>
    <w:rsid w:val="006D3360"/>
    <w:rsid w:val="006D3420"/>
    <w:rsid w:val="006D37A2"/>
    <w:rsid w:val="006D3827"/>
    <w:rsid w:val="006D38FB"/>
    <w:rsid w:val="006D3B2A"/>
    <w:rsid w:val="006D5098"/>
    <w:rsid w:val="006E0002"/>
    <w:rsid w:val="006E0BED"/>
    <w:rsid w:val="006E0E3A"/>
    <w:rsid w:val="006E1D23"/>
    <w:rsid w:val="006E256A"/>
    <w:rsid w:val="006E25BD"/>
    <w:rsid w:val="006E2941"/>
    <w:rsid w:val="006E3483"/>
    <w:rsid w:val="006E35F9"/>
    <w:rsid w:val="006E3B8A"/>
    <w:rsid w:val="006E4123"/>
    <w:rsid w:val="006E47A4"/>
    <w:rsid w:val="006E4A62"/>
    <w:rsid w:val="006E4BA5"/>
    <w:rsid w:val="006E59A9"/>
    <w:rsid w:val="006E5AA3"/>
    <w:rsid w:val="006E5CE9"/>
    <w:rsid w:val="006E5E87"/>
    <w:rsid w:val="006E66DB"/>
    <w:rsid w:val="006E6DEF"/>
    <w:rsid w:val="006E6FD3"/>
    <w:rsid w:val="006E74E2"/>
    <w:rsid w:val="006E78ED"/>
    <w:rsid w:val="006E7F11"/>
    <w:rsid w:val="006F0CFA"/>
    <w:rsid w:val="006F0F21"/>
    <w:rsid w:val="006F1277"/>
    <w:rsid w:val="006F177C"/>
    <w:rsid w:val="006F17AC"/>
    <w:rsid w:val="006F1905"/>
    <w:rsid w:val="006F1EB4"/>
    <w:rsid w:val="006F1F62"/>
    <w:rsid w:val="006F29BF"/>
    <w:rsid w:val="006F2CF3"/>
    <w:rsid w:val="006F2CF4"/>
    <w:rsid w:val="006F3414"/>
    <w:rsid w:val="006F34E4"/>
    <w:rsid w:val="006F3B16"/>
    <w:rsid w:val="006F4598"/>
    <w:rsid w:val="006F46EC"/>
    <w:rsid w:val="006F4948"/>
    <w:rsid w:val="006F51D0"/>
    <w:rsid w:val="006F54AC"/>
    <w:rsid w:val="006F5930"/>
    <w:rsid w:val="006F5C3A"/>
    <w:rsid w:val="006F6028"/>
    <w:rsid w:val="006F6426"/>
    <w:rsid w:val="006F6AEF"/>
    <w:rsid w:val="006F78AF"/>
    <w:rsid w:val="00700599"/>
    <w:rsid w:val="007007C4"/>
    <w:rsid w:val="00700930"/>
    <w:rsid w:val="007011AE"/>
    <w:rsid w:val="007015E2"/>
    <w:rsid w:val="0070218C"/>
    <w:rsid w:val="00703CBB"/>
    <w:rsid w:val="00703F42"/>
    <w:rsid w:val="00704090"/>
    <w:rsid w:val="00704CF5"/>
    <w:rsid w:val="00705B3F"/>
    <w:rsid w:val="00705EE7"/>
    <w:rsid w:val="007076E8"/>
    <w:rsid w:val="00710039"/>
    <w:rsid w:val="007101D7"/>
    <w:rsid w:val="0071030E"/>
    <w:rsid w:val="00710FE7"/>
    <w:rsid w:val="00711282"/>
    <w:rsid w:val="00711815"/>
    <w:rsid w:val="0071181E"/>
    <w:rsid w:val="0071252A"/>
    <w:rsid w:val="00712E0C"/>
    <w:rsid w:val="00712F5E"/>
    <w:rsid w:val="007133D6"/>
    <w:rsid w:val="00713740"/>
    <w:rsid w:val="00713AE3"/>
    <w:rsid w:val="00713B93"/>
    <w:rsid w:val="00713CA2"/>
    <w:rsid w:val="00714C3B"/>
    <w:rsid w:val="00714E07"/>
    <w:rsid w:val="007163C7"/>
    <w:rsid w:val="00717C7E"/>
    <w:rsid w:val="00717E09"/>
    <w:rsid w:val="007201CB"/>
    <w:rsid w:val="00720AD5"/>
    <w:rsid w:val="007210CC"/>
    <w:rsid w:val="007215EB"/>
    <w:rsid w:val="00722221"/>
    <w:rsid w:val="007222A5"/>
    <w:rsid w:val="00722B02"/>
    <w:rsid w:val="00724A9F"/>
    <w:rsid w:val="00724C1F"/>
    <w:rsid w:val="007257ED"/>
    <w:rsid w:val="00725B4F"/>
    <w:rsid w:val="00725BFD"/>
    <w:rsid w:val="00725F60"/>
    <w:rsid w:val="007268DB"/>
    <w:rsid w:val="00726BF6"/>
    <w:rsid w:val="0072703E"/>
    <w:rsid w:val="00727247"/>
    <w:rsid w:val="007273EC"/>
    <w:rsid w:val="0072791E"/>
    <w:rsid w:val="00727B41"/>
    <w:rsid w:val="00730318"/>
    <w:rsid w:val="0073039F"/>
    <w:rsid w:val="007305AB"/>
    <w:rsid w:val="0073061B"/>
    <w:rsid w:val="007309B4"/>
    <w:rsid w:val="00730AFF"/>
    <w:rsid w:val="00730B44"/>
    <w:rsid w:val="00730D9D"/>
    <w:rsid w:val="00730F8E"/>
    <w:rsid w:val="0073195C"/>
    <w:rsid w:val="00733758"/>
    <w:rsid w:val="00733A0A"/>
    <w:rsid w:val="007341BC"/>
    <w:rsid w:val="007342EB"/>
    <w:rsid w:val="007348FD"/>
    <w:rsid w:val="00735285"/>
    <w:rsid w:val="007354E6"/>
    <w:rsid w:val="0073573B"/>
    <w:rsid w:val="00735EE9"/>
    <w:rsid w:val="00736211"/>
    <w:rsid w:val="007362DA"/>
    <w:rsid w:val="007362FE"/>
    <w:rsid w:val="00736720"/>
    <w:rsid w:val="007368AF"/>
    <w:rsid w:val="00736A5C"/>
    <w:rsid w:val="00736CAD"/>
    <w:rsid w:val="007372E2"/>
    <w:rsid w:val="00737446"/>
    <w:rsid w:val="0073753B"/>
    <w:rsid w:val="00737AAF"/>
    <w:rsid w:val="00740A00"/>
    <w:rsid w:val="007411D1"/>
    <w:rsid w:val="00741677"/>
    <w:rsid w:val="0074174F"/>
    <w:rsid w:val="00741D8E"/>
    <w:rsid w:val="00741FE4"/>
    <w:rsid w:val="0074223D"/>
    <w:rsid w:val="00742CE3"/>
    <w:rsid w:val="007433EE"/>
    <w:rsid w:val="00743BCB"/>
    <w:rsid w:val="00744763"/>
    <w:rsid w:val="00744790"/>
    <w:rsid w:val="00744D38"/>
    <w:rsid w:val="007451A6"/>
    <w:rsid w:val="007453BF"/>
    <w:rsid w:val="00745575"/>
    <w:rsid w:val="00745D7D"/>
    <w:rsid w:val="007467C5"/>
    <w:rsid w:val="007467EF"/>
    <w:rsid w:val="00746892"/>
    <w:rsid w:val="00747846"/>
    <w:rsid w:val="0075104B"/>
    <w:rsid w:val="00751609"/>
    <w:rsid w:val="00751760"/>
    <w:rsid w:val="00752981"/>
    <w:rsid w:val="00752AC8"/>
    <w:rsid w:val="00752EA3"/>
    <w:rsid w:val="00753264"/>
    <w:rsid w:val="00753760"/>
    <w:rsid w:val="0075389C"/>
    <w:rsid w:val="00753CC1"/>
    <w:rsid w:val="00753DF1"/>
    <w:rsid w:val="00754472"/>
    <w:rsid w:val="007546AE"/>
    <w:rsid w:val="00756F52"/>
    <w:rsid w:val="00760E28"/>
    <w:rsid w:val="00761266"/>
    <w:rsid w:val="007616E9"/>
    <w:rsid w:val="00761956"/>
    <w:rsid w:val="007619EC"/>
    <w:rsid w:val="00762A8C"/>
    <w:rsid w:val="00763D3D"/>
    <w:rsid w:val="00763DB4"/>
    <w:rsid w:val="00764C0F"/>
    <w:rsid w:val="00765397"/>
    <w:rsid w:val="00765CC6"/>
    <w:rsid w:val="00766564"/>
    <w:rsid w:val="007666D8"/>
    <w:rsid w:val="007669EA"/>
    <w:rsid w:val="0076738C"/>
    <w:rsid w:val="00767632"/>
    <w:rsid w:val="00767DFD"/>
    <w:rsid w:val="00770061"/>
    <w:rsid w:val="00770374"/>
    <w:rsid w:val="00771094"/>
    <w:rsid w:val="007715F2"/>
    <w:rsid w:val="0077179A"/>
    <w:rsid w:val="007719E0"/>
    <w:rsid w:val="00771FC6"/>
    <w:rsid w:val="00772731"/>
    <w:rsid w:val="00773370"/>
    <w:rsid w:val="0077366C"/>
    <w:rsid w:val="007742DE"/>
    <w:rsid w:val="00774F1A"/>
    <w:rsid w:val="007752C4"/>
    <w:rsid w:val="00775CD6"/>
    <w:rsid w:val="0078010C"/>
    <w:rsid w:val="007805DC"/>
    <w:rsid w:val="007809B1"/>
    <w:rsid w:val="00780B94"/>
    <w:rsid w:val="00780D41"/>
    <w:rsid w:val="007811D7"/>
    <w:rsid w:val="0078146C"/>
    <w:rsid w:val="00782559"/>
    <w:rsid w:val="00782663"/>
    <w:rsid w:val="00783043"/>
    <w:rsid w:val="007837B6"/>
    <w:rsid w:val="00783904"/>
    <w:rsid w:val="00784480"/>
    <w:rsid w:val="00785840"/>
    <w:rsid w:val="007859B2"/>
    <w:rsid w:val="00785C01"/>
    <w:rsid w:val="007860D8"/>
    <w:rsid w:val="00786260"/>
    <w:rsid w:val="007869E6"/>
    <w:rsid w:val="00786AD1"/>
    <w:rsid w:val="00786B1A"/>
    <w:rsid w:val="00787E0D"/>
    <w:rsid w:val="00790360"/>
    <w:rsid w:val="007904F8"/>
    <w:rsid w:val="00790EC0"/>
    <w:rsid w:val="0079149E"/>
    <w:rsid w:val="0079160D"/>
    <w:rsid w:val="00791724"/>
    <w:rsid w:val="00791DCB"/>
    <w:rsid w:val="00792632"/>
    <w:rsid w:val="0079270D"/>
    <w:rsid w:val="0079294D"/>
    <w:rsid w:val="00792E78"/>
    <w:rsid w:val="00793EEA"/>
    <w:rsid w:val="00794031"/>
    <w:rsid w:val="00794303"/>
    <w:rsid w:val="00794629"/>
    <w:rsid w:val="00794893"/>
    <w:rsid w:val="00794E11"/>
    <w:rsid w:val="007962EF"/>
    <w:rsid w:val="007968A4"/>
    <w:rsid w:val="00796B3B"/>
    <w:rsid w:val="00796C0C"/>
    <w:rsid w:val="0079715F"/>
    <w:rsid w:val="007971B0"/>
    <w:rsid w:val="007971DA"/>
    <w:rsid w:val="007971F8"/>
    <w:rsid w:val="007972E2"/>
    <w:rsid w:val="007973EF"/>
    <w:rsid w:val="007977F7"/>
    <w:rsid w:val="00797BA8"/>
    <w:rsid w:val="00797D6F"/>
    <w:rsid w:val="007A0052"/>
    <w:rsid w:val="007A054A"/>
    <w:rsid w:val="007A0B22"/>
    <w:rsid w:val="007A0E46"/>
    <w:rsid w:val="007A11CC"/>
    <w:rsid w:val="007A14EB"/>
    <w:rsid w:val="007A175E"/>
    <w:rsid w:val="007A21FC"/>
    <w:rsid w:val="007A2975"/>
    <w:rsid w:val="007A2C4F"/>
    <w:rsid w:val="007A37EC"/>
    <w:rsid w:val="007A4330"/>
    <w:rsid w:val="007A4EB5"/>
    <w:rsid w:val="007A540E"/>
    <w:rsid w:val="007A641F"/>
    <w:rsid w:val="007A6B49"/>
    <w:rsid w:val="007A7631"/>
    <w:rsid w:val="007A7CDC"/>
    <w:rsid w:val="007B037E"/>
    <w:rsid w:val="007B06DA"/>
    <w:rsid w:val="007B0798"/>
    <w:rsid w:val="007B08AC"/>
    <w:rsid w:val="007B08FE"/>
    <w:rsid w:val="007B11F5"/>
    <w:rsid w:val="007B1979"/>
    <w:rsid w:val="007B1E29"/>
    <w:rsid w:val="007B2FBC"/>
    <w:rsid w:val="007B4389"/>
    <w:rsid w:val="007B4AD9"/>
    <w:rsid w:val="007B4B22"/>
    <w:rsid w:val="007B4B2D"/>
    <w:rsid w:val="007B6487"/>
    <w:rsid w:val="007B654E"/>
    <w:rsid w:val="007B655A"/>
    <w:rsid w:val="007B671C"/>
    <w:rsid w:val="007B7104"/>
    <w:rsid w:val="007B7319"/>
    <w:rsid w:val="007B7562"/>
    <w:rsid w:val="007B7DE8"/>
    <w:rsid w:val="007C00ED"/>
    <w:rsid w:val="007C0361"/>
    <w:rsid w:val="007C0724"/>
    <w:rsid w:val="007C0BB1"/>
    <w:rsid w:val="007C1360"/>
    <w:rsid w:val="007C18C3"/>
    <w:rsid w:val="007C18D1"/>
    <w:rsid w:val="007C1CE0"/>
    <w:rsid w:val="007C280B"/>
    <w:rsid w:val="007C2AF6"/>
    <w:rsid w:val="007C2E2E"/>
    <w:rsid w:val="007C356F"/>
    <w:rsid w:val="007C3B45"/>
    <w:rsid w:val="007C5008"/>
    <w:rsid w:val="007C570B"/>
    <w:rsid w:val="007C57E0"/>
    <w:rsid w:val="007C5A14"/>
    <w:rsid w:val="007C647E"/>
    <w:rsid w:val="007C6651"/>
    <w:rsid w:val="007C6DA8"/>
    <w:rsid w:val="007C7278"/>
    <w:rsid w:val="007D11E4"/>
    <w:rsid w:val="007D142C"/>
    <w:rsid w:val="007D15F9"/>
    <w:rsid w:val="007D1742"/>
    <w:rsid w:val="007D182E"/>
    <w:rsid w:val="007D1BA9"/>
    <w:rsid w:val="007D2D8A"/>
    <w:rsid w:val="007D2F4E"/>
    <w:rsid w:val="007D32E8"/>
    <w:rsid w:val="007D4EA6"/>
    <w:rsid w:val="007D5121"/>
    <w:rsid w:val="007D55CC"/>
    <w:rsid w:val="007D5A29"/>
    <w:rsid w:val="007D643D"/>
    <w:rsid w:val="007D6F33"/>
    <w:rsid w:val="007D6FAE"/>
    <w:rsid w:val="007D7045"/>
    <w:rsid w:val="007E0063"/>
    <w:rsid w:val="007E01DD"/>
    <w:rsid w:val="007E02E9"/>
    <w:rsid w:val="007E081D"/>
    <w:rsid w:val="007E12F1"/>
    <w:rsid w:val="007E12F6"/>
    <w:rsid w:val="007E2367"/>
    <w:rsid w:val="007E2566"/>
    <w:rsid w:val="007E25CF"/>
    <w:rsid w:val="007E2722"/>
    <w:rsid w:val="007E2CD1"/>
    <w:rsid w:val="007E2CE1"/>
    <w:rsid w:val="007E2D40"/>
    <w:rsid w:val="007E3854"/>
    <w:rsid w:val="007E3B6C"/>
    <w:rsid w:val="007E509A"/>
    <w:rsid w:val="007E5429"/>
    <w:rsid w:val="007E570B"/>
    <w:rsid w:val="007E5816"/>
    <w:rsid w:val="007E5842"/>
    <w:rsid w:val="007E5FF0"/>
    <w:rsid w:val="007E6098"/>
    <w:rsid w:val="007E67DB"/>
    <w:rsid w:val="007E6940"/>
    <w:rsid w:val="007E7312"/>
    <w:rsid w:val="007E77E0"/>
    <w:rsid w:val="007F0D1B"/>
    <w:rsid w:val="007F11E8"/>
    <w:rsid w:val="007F14A1"/>
    <w:rsid w:val="007F1D51"/>
    <w:rsid w:val="007F1F3C"/>
    <w:rsid w:val="007F21B2"/>
    <w:rsid w:val="007F2808"/>
    <w:rsid w:val="007F30C4"/>
    <w:rsid w:val="007F323B"/>
    <w:rsid w:val="007F33F6"/>
    <w:rsid w:val="007F419D"/>
    <w:rsid w:val="007F5EFB"/>
    <w:rsid w:val="007F62CF"/>
    <w:rsid w:val="007F76C2"/>
    <w:rsid w:val="007F7FE0"/>
    <w:rsid w:val="008001D2"/>
    <w:rsid w:val="0080070C"/>
    <w:rsid w:val="008013DE"/>
    <w:rsid w:val="008015EF"/>
    <w:rsid w:val="00801DA4"/>
    <w:rsid w:val="008035EE"/>
    <w:rsid w:val="00803DCB"/>
    <w:rsid w:val="00804FBE"/>
    <w:rsid w:val="008051DE"/>
    <w:rsid w:val="00805735"/>
    <w:rsid w:val="00806032"/>
    <w:rsid w:val="0080604A"/>
    <w:rsid w:val="008067D9"/>
    <w:rsid w:val="008074B0"/>
    <w:rsid w:val="0081058A"/>
    <w:rsid w:val="00810A61"/>
    <w:rsid w:val="00810E90"/>
    <w:rsid w:val="008119AD"/>
    <w:rsid w:val="00812A2E"/>
    <w:rsid w:val="00812A99"/>
    <w:rsid w:val="00812BC1"/>
    <w:rsid w:val="00815972"/>
    <w:rsid w:val="00815DF8"/>
    <w:rsid w:val="008165FA"/>
    <w:rsid w:val="00816730"/>
    <w:rsid w:val="00817636"/>
    <w:rsid w:val="00817DCE"/>
    <w:rsid w:val="0082088C"/>
    <w:rsid w:val="00821679"/>
    <w:rsid w:val="008216E9"/>
    <w:rsid w:val="008223BB"/>
    <w:rsid w:val="00822A76"/>
    <w:rsid w:val="00822C5D"/>
    <w:rsid w:val="00822D0B"/>
    <w:rsid w:val="00823A76"/>
    <w:rsid w:val="00823B88"/>
    <w:rsid w:val="008243B3"/>
    <w:rsid w:val="008247E2"/>
    <w:rsid w:val="00824EB2"/>
    <w:rsid w:val="00825496"/>
    <w:rsid w:val="00825499"/>
    <w:rsid w:val="008254B8"/>
    <w:rsid w:val="00825E36"/>
    <w:rsid w:val="008264AD"/>
    <w:rsid w:val="0082672E"/>
    <w:rsid w:val="00827651"/>
    <w:rsid w:val="00827790"/>
    <w:rsid w:val="00827954"/>
    <w:rsid w:val="008301DE"/>
    <w:rsid w:val="00830819"/>
    <w:rsid w:val="00830826"/>
    <w:rsid w:val="0083096B"/>
    <w:rsid w:val="008309A8"/>
    <w:rsid w:val="00830ED8"/>
    <w:rsid w:val="008311FC"/>
    <w:rsid w:val="00831C54"/>
    <w:rsid w:val="0083201C"/>
    <w:rsid w:val="008320EB"/>
    <w:rsid w:val="00832E72"/>
    <w:rsid w:val="00833B09"/>
    <w:rsid w:val="00833B28"/>
    <w:rsid w:val="00833CA0"/>
    <w:rsid w:val="008343A3"/>
    <w:rsid w:val="00834D73"/>
    <w:rsid w:val="0083566E"/>
    <w:rsid w:val="00835884"/>
    <w:rsid w:val="00836F3A"/>
    <w:rsid w:val="00837EEE"/>
    <w:rsid w:val="00840EF4"/>
    <w:rsid w:val="008416DD"/>
    <w:rsid w:val="008418ED"/>
    <w:rsid w:val="00841B33"/>
    <w:rsid w:val="00841B79"/>
    <w:rsid w:val="00841C08"/>
    <w:rsid w:val="008420AA"/>
    <w:rsid w:val="008430F4"/>
    <w:rsid w:val="008432AD"/>
    <w:rsid w:val="00843702"/>
    <w:rsid w:val="0084399E"/>
    <w:rsid w:val="008446BD"/>
    <w:rsid w:val="00844B60"/>
    <w:rsid w:val="0084644C"/>
    <w:rsid w:val="00846505"/>
    <w:rsid w:val="0084664C"/>
    <w:rsid w:val="008469C4"/>
    <w:rsid w:val="00846ACF"/>
    <w:rsid w:val="00847E4C"/>
    <w:rsid w:val="0085007C"/>
    <w:rsid w:val="00850748"/>
    <w:rsid w:val="008510CF"/>
    <w:rsid w:val="0085192E"/>
    <w:rsid w:val="00852ABE"/>
    <w:rsid w:val="00852B5E"/>
    <w:rsid w:val="008545F6"/>
    <w:rsid w:val="008546F4"/>
    <w:rsid w:val="00854B4B"/>
    <w:rsid w:val="00854D37"/>
    <w:rsid w:val="00854D41"/>
    <w:rsid w:val="00855362"/>
    <w:rsid w:val="00855696"/>
    <w:rsid w:val="00855A5E"/>
    <w:rsid w:val="00855B32"/>
    <w:rsid w:val="00855C13"/>
    <w:rsid w:val="0085678F"/>
    <w:rsid w:val="00856A64"/>
    <w:rsid w:val="008571C4"/>
    <w:rsid w:val="00860286"/>
    <w:rsid w:val="008604A0"/>
    <w:rsid w:val="008608C4"/>
    <w:rsid w:val="008613A9"/>
    <w:rsid w:val="00861B6B"/>
    <w:rsid w:val="008620DF"/>
    <w:rsid w:val="008625FD"/>
    <w:rsid w:val="008629A8"/>
    <w:rsid w:val="00862A5A"/>
    <w:rsid w:val="00863F2A"/>
    <w:rsid w:val="0086440A"/>
    <w:rsid w:val="0086441D"/>
    <w:rsid w:val="00864678"/>
    <w:rsid w:val="00864E1A"/>
    <w:rsid w:val="0086509D"/>
    <w:rsid w:val="008652AC"/>
    <w:rsid w:val="00865421"/>
    <w:rsid w:val="0086553F"/>
    <w:rsid w:val="00865E79"/>
    <w:rsid w:val="00866DDD"/>
    <w:rsid w:val="008671F2"/>
    <w:rsid w:val="008675A8"/>
    <w:rsid w:val="008677C3"/>
    <w:rsid w:val="00867D27"/>
    <w:rsid w:val="008703D0"/>
    <w:rsid w:val="008707A2"/>
    <w:rsid w:val="00870F99"/>
    <w:rsid w:val="008711DA"/>
    <w:rsid w:val="008714E7"/>
    <w:rsid w:val="00871F7D"/>
    <w:rsid w:val="0087215A"/>
    <w:rsid w:val="00872666"/>
    <w:rsid w:val="008733A5"/>
    <w:rsid w:val="00873C6E"/>
    <w:rsid w:val="00873D4B"/>
    <w:rsid w:val="00874E68"/>
    <w:rsid w:val="00875000"/>
    <w:rsid w:val="00875758"/>
    <w:rsid w:val="008759DF"/>
    <w:rsid w:val="0087644F"/>
    <w:rsid w:val="00876497"/>
    <w:rsid w:val="00876596"/>
    <w:rsid w:val="00876C18"/>
    <w:rsid w:val="00876CF6"/>
    <w:rsid w:val="00877A7A"/>
    <w:rsid w:val="00877E20"/>
    <w:rsid w:val="008809F1"/>
    <w:rsid w:val="00880B82"/>
    <w:rsid w:val="00881183"/>
    <w:rsid w:val="00881196"/>
    <w:rsid w:val="00882CB5"/>
    <w:rsid w:val="00883045"/>
    <w:rsid w:val="008838D2"/>
    <w:rsid w:val="00883AEA"/>
    <w:rsid w:val="00883C40"/>
    <w:rsid w:val="00883D7F"/>
    <w:rsid w:val="00883F3D"/>
    <w:rsid w:val="0088416D"/>
    <w:rsid w:val="008843CD"/>
    <w:rsid w:val="0088550D"/>
    <w:rsid w:val="00885732"/>
    <w:rsid w:val="00886463"/>
    <w:rsid w:val="00886770"/>
    <w:rsid w:val="00886F73"/>
    <w:rsid w:val="0088729E"/>
    <w:rsid w:val="00887C54"/>
    <w:rsid w:val="008907DE"/>
    <w:rsid w:val="00890835"/>
    <w:rsid w:val="00890BB9"/>
    <w:rsid w:val="008917E5"/>
    <w:rsid w:val="0089183C"/>
    <w:rsid w:val="00891FF8"/>
    <w:rsid w:val="00893142"/>
    <w:rsid w:val="0089357D"/>
    <w:rsid w:val="00893B05"/>
    <w:rsid w:val="00894AB1"/>
    <w:rsid w:val="00894AFD"/>
    <w:rsid w:val="0089664B"/>
    <w:rsid w:val="00896A4D"/>
    <w:rsid w:val="00896AA3"/>
    <w:rsid w:val="00896B83"/>
    <w:rsid w:val="008979CC"/>
    <w:rsid w:val="008A073B"/>
    <w:rsid w:val="008A13C5"/>
    <w:rsid w:val="008A162B"/>
    <w:rsid w:val="008A207C"/>
    <w:rsid w:val="008A29FA"/>
    <w:rsid w:val="008A2B9A"/>
    <w:rsid w:val="008A32A7"/>
    <w:rsid w:val="008A3805"/>
    <w:rsid w:val="008A40E3"/>
    <w:rsid w:val="008A568E"/>
    <w:rsid w:val="008A5D2D"/>
    <w:rsid w:val="008A5E33"/>
    <w:rsid w:val="008A6866"/>
    <w:rsid w:val="008A69E4"/>
    <w:rsid w:val="008A7CD3"/>
    <w:rsid w:val="008A7E61"/>
    <w:rsid w:val="008B01DF"/>
    <w:rsid w:val="008B09AD"/>
    <w:rsid w:val="008B2EE8"/>
    <w:rsid w:val="008B4253"/>
    <w:rsid w:val="008B44E8"/>
    <w:rsid w:val="008B4AB2"/>
    <w:rsid w:val="008B4E85"/>
    <w:rsid w:val="008B4EB8"/>
    <w:rsid w:val="008B5748"/>
    <w:rsid w:val="008B6D8C"/>
    <w:rsid w:val="008B7A34"/>
    <w:rsid w:val="008B7E00"/>
    <w:rsid w:val="008C0C65"/>
    <w:rsid w:val="008C0CA6"/>
    <w:rsid w:val="008C1127"/>
    <w:rsid w:val="008C11F7"/>
    <w:rsid w:val="008C1220"/>
    <w:rsid w:val="008C17FA"/>
    <w:rsid w:val="008C188D"/>
    <w:rsid w:val="008C2051"/>
    <w:rsid w:val="008C3310"/>
    <w:rsid w:val="008C3FF0"/>
    <w:rsid w:val="008C45DD"/>
    <w:rsid w:val="008C49DA"/>
    <w:rsid w:val="008C5839"/>
    <w:rsid w:val="008C58DE"/>
    <w:rsid w:val="008C5AA2"/>
    <w:rsid w:val="008C606D"/>
    <w:rsid w:val="008C6F1F"/>
    <w:rsid w:val="008C72D0"/>
    <w:rsid w:val="008C75E6"/>
    <w:rsid w:val="008D09E1"/>
    <w:rsid w:val="008D12DC"/>
    <w:rsid w:val="008D146C"/>
    <w:rsid w:val="008D1AA0"/>
    <w:rsid w:val="008D25B8"/>
    <w:rsid w:val="008D26E2"/>
    <w:rsid w:val="008D2BC7"/>
    <w:rsid w:val="008D30ED"/>
    <w:rsid w:val="008D327C"/>
    <w:rsid w:val="008D34DC"/>
    <w:rsid w:val="008D3E11"/>
    <w:rsid w:val="008D3E60"/>
    <w:rsid w:val="008D4A10"/>
    <w:rsid w:val="008D4D3D"/>
    <w:rsid w:val="008D5087"/>
    <w:rsid w:val="008D59A2"/>
    <w:rsid w:val="008D5AD3"/>
    <w:rsid w:val="008D5B1B"/>
    <w:rsid w:val="008D5DBE"/>
    <w:rsid w:val="008D6163"/>
    <w:rsid w:val="008D677F"/>
    <w:rsid w:val="008D6CB4"/>
    <w:rsid w:val="008D6E41"/>
    <w:rsid w:val="008D74DB"/>
    <w:rsid w:val="008D7513"/>
    <w:rsid w:val="008D76BC"/>
    <w:rsid w:val="008D7B2E"/>
    <w:rsid w:val="008D7B77"/>
    <w:rsid w:val="008E0231"/>
    <w:rsid w:val="008E0290"/>
    <w:rsid w:val="008E030B"/>
    <w:rsid w:val="008E0925"/>
    <w:rsid w:val="008E0F42"/>
    <w:rsid w:val="008E19C2"/>
    <w:rsid w:val="008E1B8A"/>
    <w:rsid w:val="008E2499"/>
    <w:rsid w:val="008E3301"/>
    <w:rsid w:val="008E3566"/>
    <w:rsid w:val="008E3947"/>
    <w:rsid w:val="008E40FF"/>
    <w:rsid w:val="008E5083"/>
    <w:rsid w:val="008E53F3"/>
    <w:rsid w:val="008E6625"/>
    <w:rsid w:val="008E6C57"/>
    <w:rsid w:val="008F0D0B"/>
    <w:rsid w:val="008F0DE2"/>
    <w:rsid w:val="008F1EC2"/>
    <w:rsid w:val="008F22AA"/>
    <w:rsid w:val="008F22EA"/>
    <w:rsid w:val="008F23A4"/>
    <w:rsid w:val="008F2788"/>
    <w:rsid w:val="008F337D"/>
    <w:rsid w:val="008F3772"/>
    <w:rsid w:val="008F3F96"/>
    <w:rsid w:val="008F4B2A"/>
    <w:rsid w:val="008F4B7B"/>
    <w:rsid w:val="008F4EA0"/>
    <w:rsid w:val="008F5BF1"/>
    <w:rsid w:val="008F5D47"/>
    <w:rsid w:val="008F5FE4"/>
    <w:rsid w:val="008F6C04"/>
    <w:rsid w:val="008F6CE6"/>
    <w:rsid w:val="008F6EDB"/>
    <w:rsid w:val="008F70B5"/>
    <w:rsid w:val="008F764F"/>
    <w:rsid w:val="008F7B2C"/>
    <w:rsid w:val="008F7C6C"/>
    <w:rsid w:val="008F7DEC"/>
    <w:rsid w:val="00900547"/>
    <w:rsid w:val="00900AEC"/>
    <w:rsid w:val="00900C21"/>
    <w:rsid w:val="00900F6D"/>
    <w:rsid w:val="00901948"/>
    <w:rsid w:val="00901E4F"/>
    <w:rsid w:val="00902A91"/>
    <w:rsid w:val="00902CE4"/>
    <w:rsid w:val="00903506"/>
    <w:rsid w:val="009039FF"/>
    <w:rsid w:val="00903A30"/>
    <w:rsid w:val="00903E6B"/>
    <w:rsid w:val="00905107"/>
    <w:rsid w:val="00905203"/>
    <w:rsid w:val="00905229"/>
    <w:rsid w:val="009064E9"/>
    <w:rsid w:val="00906E72"/>
    <w:rsid w:val="00907ABF"/>
    <w:rsid w:val="00907BBE"/>
    <w:rsid w:val="00907BFE"/>
    <w:rsid w:val="00907DAF"/>
    <w:rsid w:val="00907DDA"/>
    <w:rsid w:val="00907E02"/>
    <w:rsid w:val="009101B9"/>
    <w:rsid w:val="00910C3C"/>
    <w:rsid w:val="00910CB5"/>
    <w:rsid w:val="009116A8"/>
    <w:rsid w:val="00911BEF"/>
    <w:rsid w:val="00911F6D"/>
    <w:rsid w:val="009126FB"/>
    <w:rsid w:val="0091336A"/>
    <w:rsid w:val="009144F6"/>
    <w:rsid w:val="00914C59"/>
    <w:rsid w:val="0091502A"/>
    <w:rsid w:val="0091504B"/>
    <w:rsid w:val="009156AA"/>
    <w:rsid w:val="00916E74"/>
    <w:rsid w:val="0091748D"/>
    <w:rsid w:val="00920541"/>
    <w:rsid w:val="00921717"/>
    <w:rsid w:val="00922316"/>
    <w:rsid w:val="0092238F"/>
    <w:rsid w:val="00922457"/>
    <w:rsid w:val="00922947"/>
    <w:rsid w:val="009253E7"/>
    <w:rsid w:val="009255A8"/>
    <w:rsid w:val="00925776"/>
    <w:rsid w:val="00925863"/>
    <w:rsid w:val="00926082"/>
    <w:rsid w:val="0092647A"/>
    <w:rsid w:val="00926674"/>
    <w:rsid w:val="0093114A"/>
    <w:rsid w:val="009312A7"/>
    <w:rsid w:val="009327BA"/>
    <w:rsid w:val="009333CA"/>
    <w:rsid w:val="00933A1B"/>
    <w:rsid w:val="00933C7A"/>
    <w:rsid w:val="009342ED"/>
    <w:rsid w:val="00934A45"/>
    <w:rsid w:val="00935454"/>
    <w:rsid w:val="00935492"/>
    <w:rsid w:val="009358FB"/>
    <w:rsid w:val="009359B7"/>
    <w:rsid w:val="00935AAD"/>
    <w:rsid w:val="00935B5C"/>
    <w:rsid w:val="009379D0"/>
    <w:rsid w:val="009403B5"/>
    <w:rsid w:val="009403FC"/>
    <w:rsid w:val="00940BE6"/>
    <w:rsid w:val="009419F7"/>
    <w:rsid w:val="00942841"/>
    <w:rsid w:val="00943188"/>
    <w:rsid w:val="00943421"/>
    <w:rsid w:val="00943800"/>
    <w:rsid w:val="00943F25"/>
    <w:rsid w:val="00944BF9"/>
    <w:rsid w:val="009457EA"/>
    <w:rsid w:val="00946846"/>
    <w:rsid w:val="00946B33"/>
    <w:rsid w:val="00947ABE"/>
    <w:rsid w:val="009502C7"/>
    <w:rsid w:val="0095060B"/>
    <w:rsid w:val="0095085F"/>
    <w:rsid w:val="009509CE"/>
    <w:rsid w:val="00950B3B"/>
    <w:rsid w:val="00950E73"/>
    <w:rsid w:val="0095198E"/>
    <w:rsid w:val="0095227D"/>
    <w:rsid w:val="00953EC8"/>
    <w:rsid w:val="00954881"/>
    <w:rsid w:val="00955123"/>
    <w:rsid w:val="009560BA"/>
    <w:rsid w:val="009567B9"/>
    <w:rsid w:val="00956AFE"/>
    <w:rsid w:val="00956B17"/>
    <w:rsid w:val="00956C55"/>
    <w:rsid w:val="00957B04"/>
    <w:rsid w:val="00957D22"/>
    <w:rsid w:val="00960BB6"/>
    <w:rsid w:val="00961C78"/>
    <w:rsid w:val="00963353"/>
    <w:rsid w:val="00963D10"/>
    <w:rsid w:val="00963DFD"/>
    <w:rsid w:val="00964052"/>
    <w:rsid w:val="00964BD3"/>
    <w:rsid w:val="00964CCF"/>
    <w:rsid w:val="009654C8"/>
    <w:rsid w:val="00965760"/>
    <w:rsid w:val="0096608A"/>
    <w:rsid w:val="0096724D"/>
    <w:rsid w:val="0096784C"/>
    <w:rsid w:val="009701A6"/>
    <w:rsid w:val="00970DEE"/>
    <w:rsid w:val="00970F61"/>
    <w:rsid w:val="00971233"/>
    <w:rsid w:val="0097151D"/>
    <w:rsid w:val="00971912"/>
    <w:rsid w:val="009725AB"/>
    <w:rsid w:val="009726BB"/>
    <w:rsid w:val="00972DB4"/>
    <w:rsid w:val="00972F3B"/>
    <w:rsid w:val="00973438"/>
    <w:rsid w:val="00973507"/>
    <w:rsid w:val="00973544"/>
    <w:rsid w:val="009737A3"/>
    <w:rsid w:val="009737CF"/>
    <w:rsid w:val="009739DD"/>
    <w:rsid w:val="009744B4"/>
    <w:rsid w:val="009753CC"/>
    <w:rsid w:val="00976096"/>
    <w:rsid w:val="009764F1"/>
    <w:rsid w:val="00976C86"/>
    <w:rsid w:val="00976F14"/>
    <w:rsid w:val="0098068A"/>
    <w:rsid w:val="00980A82"/>
    <w:rsid w:val="00980B98"/>
    <w:rsid w:val="00980F41"/>
    <w:rsid w:val="00981C43"/>
    <w:rsid w:val="00982351"/>
    <w:rsid w:val="009837F1"/>
    <w:rsid w:val="00983904"/>
    <w:rsid w:val="00983C99"/>
    <w:rsid w:val="00983F4B"/>
    <w:rsid w:val="00984136"/>
    <w:rsid w:val="009845CF"/>
    <w:rsid w:val="00985AF8"/>
    <w:rsid w:val="009862DA"/>
    <w:rsid w:val="009865FE"/>
    <w:rsid w:val="00986A85"/>
    <w:rsid w:val="00986F22"/>
    <w:rsid w:val="009872A8"/>
    <w:rsid w:val="009873FB"/>
    <w:rsid w:val="0099037F"/>
    <w:rsid w:val="009906CC"/>
    <w:rsid w:val="00990BAE"/>
    <w:rsid w:val="00991272"/>
    <w:rsid w:val="009914D2"/>
    <w:rsid w:val="00992026"/>
    <w:rsid w:val="009923EE"/>
    <w:rsid w:val="00992869"/>
    <w:rsid w:val="0099309F"/>
    <w:rsid w:val="009932CE"/>
    <w:rsid w:val="00993AC2"/>
    <w:rsid w:val="00995057"/>
    <w:rsid w:val="00996685"/>
    <w:rsid w:val="00996A9A"/>
    <w:rsid w:val="00996B55"/>
    <w:rsid w:val="00996E39"/>
    <w:rsid w:val="009971A7"/>
    <w:rsid w:val="00997D5A"/>
    <w:rsid w:val="009A00FC"/>
    <w:rsid w:val="009A01AC"/>
    <w:rsid w:val="009A032A"/>
    <w:rsid w:val="009A03A5"/>
    <w:rsid w:val="009A0472"/>
    <w:rsid w:val="009A0F9C"/>
    <w:rsid w:val="009A0FD2"/>
    <w:rsid w:val="009A1378"/>
    <w:rsid w:val="009A1906"/>
    <w:rsid w:val="009A19C5"/>
    <w:rsid w:val="009A21E3"/>
    <w:rsid w:val="009A290C"/>
    <w:rsid w:val="009A2A4C"/>
    <w:rsid w:val="009A41DC"/>
    <w:rsid w:val="009A5B00"/>
    <w:rsid w:val="009A61CA"/>
    <w:rsid w:val="009A6A52"/>
    <w:rsid w:val="009B08EC"/>
    <w:rsid w:val="009B09B5"/>
    <w:rsid w:val="009B0D40"/>
    <w:rsid w:val="009B0F5C"/>
    <w:rsid w:val="009B1B5F"/>
    <w:rsid w:val="009B1BCC"/>
    <w:rsid w:val="009B2046"/>
    <w:rsid w:val="009B2A38"/>
    <w:rsid w:val="009B3FC4"/>
    <w:rsid w:val="009B50BE"/>
    <w:rsid w:val="009B5120"/>
    <w:rsid w:val="009B5289"/>
    <w:rsid w:val="009B562C"/>
    <w:rsid w:val="009B6693"/>
    <w:rsid w:val="009B68E3"/>
    <w:rsid w:val="009B6AFD"/>
    <w:rsid w:val="009B73E5"/>
    <w:rsid w:val="009B7791"/>
    <w:rsid w:val="009B7EB4"/>
    <w:rsid w:val="009C04F5"/>
    <w:rsid w:val="009C0B4A"/>
    <w:rsid w:val="009C125F"/>
    <w:rsid w:val="009C1540"/>
    <w:rsid w:val="009C19D5"/>
    <w:rsid w:val="009C1F49"/>
    <w:rsid w:val="009C20AB"/>
    <w:rsid w:val="009C2488"/>
    <w:rsid w:val="009C2E4B"/>
    <w:rsid w:val="009C2E88"/>
    <w:rsid w:val="009C3AFC"/>
    <w:rsid w:val="009C3EC1"/>
    <w:rsid w:val="009C4217"/>
    <w:rsid w:val="009C4753"/>
    <w:rsid w:val="009C4EB5"/>
    <w:rsid w:val="009C50CF"/>
    <w:rsid w:val="009C5772"/>
    <w:rsid w:val="009C5F47"/>
    <w:rsid w:val="009C6009"/>
    <w:rsid w:val="009C6489"/>
    <w:rsid w:val="009C6A1D"/>
    <w:rsid w:val="009C6C1D"/>
    <w:rsid w:val="009C6C4A"/>
    <w:rsid w:val="009D0ED6"/>
    <w:rsid w:val="009D105E"/>
    <w:rsid w:val="009D11A5"/>
    <w:rsid w:val="009D178B"/>
    <w:rsid w:val="009D24C4"/>
    <w:rsid w:val="009D2670"/>
    <w:rsid w:val="009D2E6C"/>
    <w:rsid w:val="009D48BB"/>
    <w:rsid w:val="009D59FC"/>
    <w:rsid w:val="009D5D62"/>
    <w:rsid w:val="009D606B"/>
    <w:rsid w:val="009D6C2E"/>
    <w:rsid w:val="009D754A"/>
    <w:rsid w:val="009D7ABD"/>
    <w:rsid w:val="009D7D59"/>
    <w:rsid w:val="009D7DEC"/>
    <w:rsid w:val="009E065E"/>
    <w:rsid w:val="009E09FD"/>
    <w:rsid w:val="009E1C5F"/>
    <w:rsid w:val="009E1CF1"/>
    <w:rsid w:val="009E22DE"/>
    <w:rsid w:val="009E22F0"/>
    <w:rsid w:val="009E2805"/>
    <w:rsid w:val="009E2843"/>
    <w:rsid w:val="009E2E3F"/>
    <w:rsid w:val="009E3D67"/>
    <w:rsid w:val="009E4508"/>
    <w:rsid w:val="009E4E5E"/>
    <w:rsid w:val="009E52B6"/>
    <w:rsid w:val="009E5999"/>
    <w:rsid w:val="009E5B67"/>
    <w:rsid w:val="009E6293"/>
    <w:rsid w:val="009E7952"/>
    <w:rsid w:val="009E7DB7"/>
    <w:rsid w:val="009F01A4"/>
    <w:rsid w:val="009F0688"/>
    <w:rsid w:val="009F0CC2"/>
    <w:rsid w:val="009F15E9"/>
    <w:rsid w:val="009F205D"/>
    <w:rsid w:val="009F25B7"/>
    <w:rsid w:val="009F25C7"/>
    <w:rsid w:val="009F288C"/>
    <w:rsid w:val="009F2B2A"/>
    <w:rsid w:val="009F2DE5"/>
    <w:rsid w:val="009F3108"/>
    <w:rsid w:val="009F34B0"/>
    <w:rsid w:val="009F3AB9"/>
    <w:rsid w:val="009F3D3E"/>
    <w:rsid w:val="009F3F93"/>
    <w:rsid w:val="009F4085"/>
    <w:rsid w:val="009F4616"/>
    <w:rsid w:val="009F5240"/>
    <w:rsid w:val="009F5477"/>
    <w:rsid w:val="009F5749"/>
    <w:rsid w:val="009F587D"/>
    <w:rsid w:val="009F5F0E"/>
    <w:rsid w:val="009F763B"/>
    <w:rsid w:val="00A00233"/>
    <w:rsid w:val="00A00EF8"/>
    <w:rsid w:val="00A0130D"/>
    <w:rsid w:val="00A0170E"/>
    <w:rsid w:val="00A0229A"/>
    <w:rsid w:val="00A0243F"/>
    <w:rsid w:val="00A027DE"/>
    <w:rsid w:val="00A0289F"/>
    <w:rsid w:val="00A02A16"/>
    <w:rsid w:val="00A03043"/>
    <w:rsid w:val="00A0330D"/>
    <w:rsid w:val="00A039A7"/>
    <w:rsid w:val="00A03AFB"/>
    <w:rsid w:val="00A04F3F"/>
    <w:rsid w:val="00A056E4"/>
    <w:rsid w:val="00A05711"/>
    <w:rsid w:val="00A05C52"/>
    <w:rsid w:val="00A05EE5"/>
    <w:rsid w:val="00A069CC"/>
    <w:rsid w:val="00A10198"/>
    <w:rsid w:val="00A10584"/>
    <w:rsid w:val="00A11EB7"/>
    <w:rsid w:val="00A121FB"/>
    <w:rsid w:val="00A122CE"/>
    <w:rsid w:val="00A145B3"/>
    <w:rsid w:val="00A14BFA"/>
    <w:rsid w:val="00A14D02"/>
    <w:rsid w:val="00A1500F"/>
    <w:rsid w:val="00A15A4B"/>
    <w:rsid w:val="00A15E64"/>
    <w:rsid w:val="00A16126"/>
    <w:rsid w:val="00A169BE"/>
    <w:rsid w:val="00A175EE"/>
    <w:rsid w:val="00A17841"/>
    <w:rsid w:val="00A1794E"/>
    <w:rsid w:val="00A17A01"/>
    <w:rsid w:val="00A17D58"/>
    <w:rsid w:val="00A20162"/>
    <w:rsid w:val="00A204C4"/>
    <w:rsid w:val="00A20570"/>
    <w:rsid w:val="00A20B67"/>
    <w:rsid w:val="00A20C65"/>
    <w:rsid w:val="00A2147C"/>
    <w:rsid w:val="00A214FA"/>
    <w:rsid w:val="00A21DF2"/>
    <w:rsid w:val="00A21ECB"/>
    <w:rsid w:val="00A21F26"/>
    <w:rsid w:val="00A22CAC"/>
    <w:rsid w:val="00A22D99"/>
    <w:rsid w:val="00A230AD"/>
    <w:rsid w:val="00A24DDE"/>
    <w:rsid w:val="00A263DB"/>
    <w:rsid w:val="00A26A82"/>
    <w:rsid w:val="00A276B0"/>
    <w:rsid w:val="00A30420"/>
    <w:rsid w:val="00A30788"/>
    <w:rsid w:val="00A3109E"/>
    <w:rsid w:val="00A31E2F"/>
    <w:rsid w:val="00A3267F"/>
    <w:rsid w:val="00A32979"/>
    <w:rsid w:val="00A32B1E"/>
    <w:rsid w:val="00A33288"/>
    <w:rsid w:val="00A33B35"/>
    <w:rsid w:val="00A33B99"/>
    <w:rsid w:val="00A35DBD"/>
    <w:rsid w:val="00A360C5"/>
    <w:rsid w:val="00A361D8"/>
    <w:rsid w:val="00A3671E"/>
    <w:rsid w:val="00A37742"/>
    <w:rsid w:val="00A37E24"/>
    <w:rsid w:val="00A40DF0"/>
    <w:rsid w:val="00A40E1F"/>
    <w:rsid w:val="00A430E4"/>
    <w:rsid w:val="00A4314B"/>
    <w:rsid w:val="00A43BD4"/>
    <w:rsid w:val="00A43F49"/>
    <w:rsid w:val="00A44203"/>
    <w:rsid w:val="00A44C70"/>
    <w:rsid w:val="00A4583D"/>
    <w:rsid w:val="00A46A75"/>
    <w:rsid w:val="00A47668"/>
    <w:rsid w:val="00A47687"/>
    <w:rsid w:val="00A50248"/>
    <w:rsid w:val="00A50EA5"/>
    <w:rsid w:val="00A50FD2"/>
    <w:rsid w:val="00A5266E"/>
    <w:rsid w:val="00A52AB7"/>
    <w:rsid w:val="00A536CA"/>
    <w:rsid w:val="00A537E1"/>
    <w:rsid w:val="00A544F7"/>
    <w:rsid w:val="00A54BE5"/>
    <w:rsid w:val="00A550AC"/>
    <w:rsid w:val="00A55201"/>
    <w:rsid w:val="00A5591F"/>
    <w:rsid w:val="00A55CD6"/>
    <w:rsid w:val="00A56FDC"/>
    <w:rsid w:val="00A57A8E"/>
    <w:rsid w:val="00A57C08"/>
    <w:rsid w:val="00A57D69"/>
    <w:rsid w:val="00A57DD5"/>
    <w:rsid w:val="00A6012F"/>
    <w:rsid w:val="00A60326"/>
    <w:rsid w:val="00A608C5"/>
    <w:rsid w:val="00A60C86"/>
    <w:rsid w:val="00A61E01"/>
    <w:rsid w:val="00A62002"/>
    <w:rsid w:val="00A624B3"/>
    <w:rsid w:val="00A62ACC"/>
    <w:rsid w:val="00A62D0B"/>
    <w:rsid w:val="00A62ED7"/>
    <w:rsid w:val="00A63009"/>
    <w:rsid w:val="00A630E9"/>
    <w:rsid w:val="00A63753"/>
    <w:rsid w:val="00A63986"/>
    <w:rsid w:val="00A63C4A"/>
    <w:rsid w:val="00A6412B"/>
    <w:rsid w:val="00A6479A"/>
    <w:rsid w:val="00A65D3A"/>
    <w:rsid w:val="00A65E77"/>
    <w:rsid w:val="00A65F0E"/>
    <w:rsid w:val="00A661FD"/>
    <w:rsid w:val="00A66537"/>
    <w:rsid w:val="00A67744"/>
    <w:rsid w:val="00A677BF"/>
    <w:rsid w:val="00A678D4"/>
    <w:rsid w:val="00A70E0C"/>
    <w:rsid w:val="00A70FA0"/>
    <w:rsid w:val="00A712CB"/>
    <w:rsid w:val="00A71ACE"/>
    <w:rsid w:val="00A71CE9"/>
    <w:rsid w:val="00A71CF1"/>
    <w:rsid w:val="00A71F08"/>
    <w:rsid w:val="00A72683"/>
    <w:rsid w:val="00A728B0"/>
    <w:rsid w:val="00A7353C"/>
    <w:rsid w:val="00A73677"/>
    <w:rsid w:val="00A7417D"/>
    <w:rsid w:val="00A743C9"/>
    <w:rsid w:val="00A74BA6"/>
    <w:rsid w:val="00A76250"/>
    <w:rsid w:val="00A76780"/>
    <w:rsid w:val="00A77381"/>
    <w:rsid w:val="00A77C09"/>
    <w:rsid w:val="00A77C2F"/>
    <w:rsid w:val="00A8024F"/>
    <w:rsid w:val="00A8027A"/>
    <w:rsid w:val="00A806BE"/>
    <w:rsid w:val="00A817FE"/>
    <w:rsid w:val="00A81A5B"/>
    <w:rsid w:val="00A81B97"/>
    <w:rsid w:val="00A81C7D"/>
    <w:rsid w:val="00A81EEB"/>
    <w:rsid w:val="00A82A41"/>
    <w:rsid w:val="00A82FD2"/>
    <w:rsid w:val="00A84D49"/>
    <w:rsid w:val="00A84DA7"/>
    <w:rsid w:val="00A84F57"/>
    <w:rsid w:val="00A85308"/>
    <w:rsid w:val="00A853B7"/>
    <w:rsid w:val="00A87036"/>
    <w:rsid w:val="00A873C7"/>
    <w:rsid w:val="00A87719"/>
    <w:rsid w:val="00A9077D"/>
    <w:rsid w:val="00A90E13"/>
    <w:rsid w:val="00A91584"/>
    <w:rsid w:val="00A92271"/>
    <w:rsid w:val="00A923D4"/>
    <w:rsid w:val="00A92F70"/>
    <w:rsid w:val="00A93478"/>
    <w:rsid w:val="00A93AC6"/>
    <w:rsid w:val="00A93CE3"/>
    <w:rsid w:val="00A93F74"/>
    <w:rsid w:val="00A945EC"/>
    <w:rsid w:val="00A9468C"/>
    <w:rsid w:val="00A94A1D"/>
    <w:rsid w:val="00A966B2"/>
    <w:rsid w:val="00A97DB7"/>
    <w:rsid w:val="00AA0ABE"/>
    <w:rsid w:val="00AA0E34"/>
    <w:rsid w:val="00AA12CC"/>
    <w:rsid w:val="00AA17C3"/>
    <w:rsid w:val="00AA1D50"/>
    <w:rsid w:val="00AA249D"/>
    <w:rsid w:val="00AA279D"/>
    <w:rsid w:val="00AA28DD"/>
    <w:rsid w:val="00AA29AE"/>
    <w:rsid w:val="00AA2BFE"/>
    <w:rsid w:val="00AA2F3C"/>
    <w:rsid w:val="00AA3E6A"/>
    <w:rsid w:val="00AA469E"/>
    <w:rsid w:val="00AA52C3"/>
    <w:rsid w:val="00AA55E3"/>
    <w:rsid w:val="00AA5885"/>
    <w:rsid w:val="00AA5B95"/>
    <w:rsid w:val="00AA5BE1"/>
    <w:rsid w:val="00AA5DAC"/>
    <w:rsid w:val="00AA6695"/>
    <w:rsid w:val="00AA66C6"/>
    <w:rsid w:val="00AA68E0"/>
    <w:rsid w:val="00AA71AD"/>
    <w:rsid w:val="00AA7300"/>
    <w:rsid w:val="00AA7CBE"/>
    <w:rsid w:val="00AA7CDE"/>
    <w:rsid w:val="00AA7FE1"/>
    <w:rsid w:val="00AB1539"/>
    <w:rsid w:val="00AB1E4D"/>
    <w:rsid w:val="00AB2697"/>
    <w:rsid w:val="00AB43BB"/>
    <w:rsid w:val="00AB4798"/>
    <w:rsid w:val="00AB4C7D"/>
    <w:rsid w:val="00AB5503"/>
    <w:rsid w:val="00AB599B"/>
    <w:rsid w:val="00AB5A6E"/>
    <w:rsid w:val="00AB6109"/>
    <w:rsid w:val="00AB64DA"/>
    <w:rsid w:val="00AB65D2"/>
    <w:rsid w:val="00AB6AC0"/>
    <w:rsid w:val="00AB6AC6"/>
    <w:rsid w:val="00AB6BCE"/>
    <w:rsid w:val="00AB7686"/>
    <w:rsid w:val="00AB7AD0"/>
    <w:rsid w:val="00AB7E2F"/>
    <w:rsid w:val="00AB7ED8"/>
    <w:rsid w:val="00AC04AE"/>
    <w:rsid w:val="00AC1A55"/>
    <w:rsid w:val="00AC277C"/>
    <w:rsid w:val="00AC2A9C"/>
    <w:rsid w:val="00AC38B8"/>
    <w:rsid w:val="00AC3AAC"/>
    <w:rsid w:val="00AC44D9"/>
    <w:rsid w:val="00AC465F"/>
    <w:rsid w:val="00AC5229"/>
    <w:rsid w:val="00AC56B6"/>
    <w:rsid w:val="00AC61C3"/>
    <w:rsid w:val="00AC64E3"/>
    <w:rsid w:val="00AC6561"/>
    <w:rsid w:val="00AC7215"/>
    <w:rsid w:val="00AD0BE9"/>
    <w:rsid w:val="00AD2756"/>
    <w:rsid w:val="00AD2C04"/>
    <w:rsid w:val="00AD3039"/>
    <w:rsid w:val="00AD37D8"/>
    <w:rsid w:val="00AD3AAC"/>
    <w:rsid w:val="00AD3D56"/>
    <w:rsid w:val="00AD4B30"/>
    <w:rsid w:val="00AD56E2"/>
    <w:rsid w:val="00AD5DDC"/>
    <w:rsid w:val="00AD65DA"/>
    <w:rsid w:val="00AD78F1"/>
    <w:rsid w:val="00AD7A22"/>
    <w:rsid w:val="00AD7E21"/>
    <w:rsid w:val="00AE02F7"/>
    <w:rsid w:val="00AE0631"/>
    <w:rsid w:val="00AE09BD"/>
    <w:rsid w:val="00AE0B78"/>
    <w:rsid w:val="00AE138C"/>
    <w:rsid w:val="00AE25C9"/>
    <w:rsid w:val="00AE2B14"/>
    <w:rsid w:val="00AE2B92"/>
    <w:rsid w:val="00AE2E34"/>
    <w:rsid w:val="00AE2FB1"/>
    <w:rsid w:val="00AE3CB7"/>
    <w:rsid w:val="00AE4405"/>
    <w:rsid w:val="00AE4714"/>
    <w:rsid w:val="00AE4855"/>
    <w:rsid w:val="00AE4D84"/>
    <w:rsid w:val="00AE4ED6"/>
    <w:rsid w:val="00AE5289"/>
    <w:rsid w:val="00AE56B2"/>
    <w:rsid w:val="00AE5970"/>
    <w:rsid w:val="00AE5D24"/>
    <w:rsid w:val="00AE64C3"/>
    <w:rsid w:val="00AE68EA"/>
    <w:rsid w:val="00AE6924"/>
    <w:rsid w:val="00AE70E5"/>
    <w:rsid w:val="00AE74E5"/>
    <w:rsid w:val="00AE7504"/>
    <w:rsid w:val="00AF0439"/>
    <w:rsid w:val="00AF1CF7"/>
    <w:rsid w:val="00AF22B7"/>
    <w:rsid w:val="00AF2B8D"/>
    <w:rsid w:val="00AF331A"/>
    <w:rsid w:val="00AF3514"/>
    <w:rsid w:val="00AF3A93"/>
    <w:rsid w:val="00AF4347"/>
    <w:rsid w:val="00AF44CD"/>
    <w:rsid w:val="00AF47DC"/>
    <w:rsid w:val="00AF53B3"/>
    <w:rsid w:val="00AF55FB"/>
    <w:rsid w:val="00AF5BE6"/>
    <w:rsid w:val="00AF5EF5"/>
    <w:rsid w:val="00AF6C05"/>
    <w:rsid w:val="00AF6E08"/>
    <w:rsid w:val="00AF7BD8"/>
    <w:rsid w:val="00AF7EA2"/>
    <w:rsid w:val="00B0098C"/>
    <w:rsid w:val="00B00A53"/>
    <w:rsid w:val="00B00D90"/>
    <w:rsid w:val="00B03573"/>
    <w:rsid w:val="00B04459"/>
    <w:rsid w:val="00B046A8"/>
    <w:rsid w:val="00B0472B"/>
    <w:rsid w:val="00B049E1"/>
    <w:rsid w:val="00B057BC"/>
    <w:rsid w:val="00B05C5C"/>
    <w:rsid w:val="00B063A4"/>
    <w:rsid w:val="00B07235"/>
    <w:rsid w:val="00B0754C"/>
    <w:rsid w:val="00B10C65"/>
    <w:rsid w:val="00B10CC2"/>
    <w:rsid w:val="00B1137F"/>
    <w:rsid w:val="00B11885"/>
    <w:rsid w:val="00B11D64"/>
    <w:rsid w:val="00B11E51"/>
    <w:rsid w:val="00B12969"/>
    <w:rsid w:val="00B131C2"/>
    <w:rsid w:val="00B131DD"/>
    <w:rsid w:val="00B13394"/>
    <w:rsid w:val="00B133D3"/>
    <w:rsid w:val="00B13667"/>
    <w:rsid w:val="00B1387A"/>
    <w:rsid w:val="00B13BCD"/>
    <w:rsid w:val="00B13CA0"/>
    <w:rsid w:val="00B150C5"/>
    <w:rsid w:val="00B1575E"/>
    <w:rsid w:val="00B15959"/>
    <w:rsid w:val="00B16096"/>
    <w:rsid w:val="00B16298"/>
    <w:rsid w:val="00B16EA6"/>
    <w:rsid w:val="00B17220"/>
    <w:rsid w:val="00B1755D"/>
    <w:rsid w:val="00B17E0F"/>
    <w:rsid w:val="00B17FD3"/>
    <w:rsid w:val="00B2050E"/>
    <w:rsid w:val="00B224F9"/>
    <w:rsid w:val="00B234CC"/>
    <w:rsid w:val="00B23E01"/>
    <w:rsid w:val="00B242B2"/>
    <w:rsid w:val="00B24383"/>
    <w:rsid w:val="00B24DF1"/>
    <w:rsid w:val="00B258BF"/>
    <w:rsid w:val="00B25C3A"/>
    <w:rsid w:val="00B26640"/>
    <w:rsid w:val="00B26BB5"/>
    <w:rsid w:val="00B26FBE"/>
    <w:rsid w:val="00B2741C"/>
    <w:rsid w:val="00B27B3A"/>
    <w:rsid w:val="00B27B48"/>
    <w:rsid w:val="00B300BB"/>
    <w:rsid w:val="00B30658"/>
    <w:rsid w:val="00B3081D"/>
    <w:rsid w:val="00B30851"/>
    <w:rsid w:val="00B30BD6"/>
    <w:rsid w:val="00B31C70"/>
    <w:rsid w:val="00B32B0E"/>
    <w:rsid w:val="00B32C24"/>
    <w:rsid w:val="00B33140"/>
    <w:rsid w:val="00B33276"/>
    <w:rsid w:val="00B33407"/>
    <w:rsid w:val="00B339BD"/>
    <w:rsid w:val="00B34408"/>
    <w:rsid w:val="00B347DA"/>
    <w:rsid w:val="00B34838"/>
    <w:rsid w:val="00B366DC"/>
    <w:rsid w:val="00B3691E"/>
    <w:rsid w:val="00B36B20"/>
    <w:rsid w:val="00B36B2C"/>
    <w:rsid w:val="00B36D08"/>
    <w:rsid w:val="00B3738F"/>
    <w:rsid w:val="00B3771F"/>
    <w:rsid w:val="00B37DD4"/>
    <w:rsid w:val="00B403FB"/>
    <w:rsid w:val="00B428E4"/>
    <w:rsid w:val="00B42A23"/>
    <w:rsid w:val="00B42A2F"/>
    <w:rsid w:val="00B438A3"/>
    <w:rsid w:val="00B43EA6"/>
    <w:rsid w:val="00B4410A"/>
    <w:rsid w:val="00B44AE6"/>
    <w:rsid w:val="00B452A8"/>
    <w:rsid w:val="00B459F6"/>
    <w:rsid w:val="00B45ECD"/>
    <w:rsid w:val="00B46682"/>
    <w:rsid w:val="00B46F0F"/>
    <w:rsid w:val="00B46FB5"/>
    <w:rsid w:val="00B476D2"/>
    <w:rsid w:val="00B510A5"/>
    <w:rsid w:val="00B511B2"/>
    <w:rsid w:val="00B52CD8"/>
    <w:rsid w:val="00B52EF6"/>
    <w:rsid w:val="00B545C6"/>
    <w:rsid w:val="00B54D09"/>
    <w:rsid w:val="00B54E1E"/>
    <w:rsid w:val="00B558FD"/>
    <w:rsid w:val="00B56D4C"/>
    <w:rsid w:val="00B56E03"/>
    <w:rsid w:val="00B56EAB"/>
    <w:rsid w:val="00B57092"/>
    <w:rsid w:val="00B57260"/>
    <w:rsid w:val="00B57CC2"/>
    <w:rsid w:val="00B57F32"/>
    <w:rsid w:val="00B6000B"/>
    <w:rsid w:val="00B60C2C"/>
    <w:rsid w:val="00B611C9"/>
    <w:rsid w:val="00B6124F"/>
    <w:rsid w:val="00B61CD1"/>
    <w:rsid w:val="00B61FE3"/>
    <w:rsid w:val="00B62227"/>
    <w:rsid w:val="00B6244B"/>
    <w:rsid w:val="00B6255C"/>
    <w:rsid w:val="00B62930"/>
    <w:rsid w:val="00B62DFC"/>
    <w:rsid w:val="00B63424"/>
    <w:rsid w:val="00B642DD"/>
    <w:rsid w:val="00B6500F"/>
    <w:rsid w:val="00B65189"/>
    <w:rsid w:val="00B652A0"/>
    <w:rsid w:val="00B65B75"/>
    <w:rsid w:val="00B6655F"/>
    <w:rsid w:val="00B67243"/>
    <w:rsid w:val="00B672B8"/>
    <w:rsid w:val="00B678BD"/>
    <w:rsid w:val="00B702A5"/>
    <w:rsid w:val="00B707D4"/>
    <w:rsid w:val="00B70DB9"/>
    <w:rsid w:val="00B71AE7"/>
    <w:rsid w:val="00B71E84"/>
    <w:rsid w:val="00B729B1"/>
    <w:rsid w:val="00B73500"/>
    <w:rsid w:val="00B73D80"/>
    <w:rsid w:val="00B73D9A"/>
    <w:rsid w:val="00B742C6"/>
    <w:rsid w:val="00B74321"/>
    <w:rsid w:val="00B74EA9"/>
    <w:rsid w:val="00B74F08"/>
    <w:rsid w:val="00B75980"/>
    <w:rsid w:val="00B76070"/>
    <w:rsid w:val="00B76231"/>
    <w:rsid w:val="00B7725A"/>
    <w:rsid w:val="00B774C2"/>
    <w:rsid w:val="00B7758C"/>
    <w:rsid w:val="00B77B3B"/>
    <w:rsid w:val="00B80010"/>
    <w:rsid w:val="00B8049E"/>
    <w:rsid w:val="00B80623"/>
    <w:rsid w:val="00B80B02"/>
    <w:rsid w:val="00B81208"/>
    <w:rsid w:val="00B8146B"/>
    <w:rsid w:val="00B814BA"/>
    <w:rsid w:val="00B81813"/>
    <w:rsid w:val="00B81FC7"/>
    <w:rsid w:val="00B82023"/>
    <w:rsid w:val="00B8203E"/>
    <w:rsid w:val="00B82DF7"/>
    <w:rsid w:val="00B83179"/>
    <w:rsid w:val="00B8392F"/>
    <w:rsid w:val="00B83BB7"/>
    <w:rsid w:val="00B84475"/>
    <w:rsid w:val="00B8534D"/>
    <w:rsid w:val="00B85511"/>
    <w:rsid w:val="00B85E81"/>
    <w:rsid w:val="00B86245"/>
    <w:rsid w:val="00B86661"/>
    <w:rsid w:val="00B86EA2"/>
    <w:rsid w:val="00B8730B"/>
    <w:rsid w:val="00B8748D"/>
    <w:rsid w:val="00B876F8"/>
    <w:rsid w:val="00B87AB9"/>
    <w:rsid w:val="00B87BEE"/>
    <w:rsid w:val="00B87C39"/>
    <w:rsid w:val="00B87FE1"/>
    <w:rsid w:val="00B907B0"/>
    <w:rsid w:val="00B90B11"/>
    <w:rsid w:val="00B9175A"/>
    <w:rsid w:val="00B91A47"/>
    <w:rsid w:val="00B92054"/>
    <w:rsid w:val="00B9262C"/>
    <w:rsid w:val="00B92966"/>
    <w:rsid w:val="00B93375"/>
    <w:rsid w:val="00B939BB"/>
    <w:rsid w:val="00B94058"/>
    <w:rsid w:val="00B944F6"/>
    <w:rsid w:val="00B94926"/>
    <w:rsid w:val="00B9670A"/>
    <w:rsid w:val="00B97C73"/>
    <w:rsid w:val="00BA009B"/>
    <w:rsid w:val="00BA0255"/>
    <w:rsid w:val="00BA0917"/>
    <w:rsid w:val="00BA0DA1"/>
    <w:rsid w:val="00BA0FF6"/>
    <w:rsid w:val="00BA11DD"/>
    <w:rsid w:val="00BA12FA"/>
    <w:rsid w:val="00BA1EB9"/>
    <w:rsid w:val="00BA2E34"/>
    <w:rsid w:val="00BA2FD7"/>
    <w:rsid w:val="00BA3B7D"/>
    <w:rsid w:val="00BA3C25"/>
    <w:rsid w:val="00BA40CC"/>
    <w:rsid w:val="00BA50B1"/>
    <w:rsid w:val="00BA5BCE"/>
    <w:rsid w:val="00BA6AA2"/>
    <w:rsid w:val="00BA6E99"/>
    <w:rsid w:val="00BA78AE"/>
    <w:rsid w:val="00BA7ECB"/>
    <w:rsid w:val="00BA7F09"/>
    <w:rsid w:val="00BB00FC"/>
    <w:rsid w:val="00BB05F9"/>
    <w:rsid w:val="00BB069A"/>
    <w:rsid w:val="00BB0A25"/>
    <w:rsid w:val="00BB0E38"/>
    <w:rsid w:val="00BB0F78"/>
    <w:rsid w:val="00BB1555"/>
    <w:rsid w:val="00BB17B5"/>
    <w:rsid w:val="00BB18B1"/>
    <w:rsid w:val="00BB1946"/>
    <w:rsid w:val="00BB1F51"/>
    <w:rsid w:val="00BB2489"/>
    <w:rsid w:val="00BB290E"/>
    <w:rsid w:val="00BB2BCA"/>
    <w:rsid w:val="00BB2D44"/>
    <w:rsid w:val="00BB2DC0"/>
    <w:rsid w:val="00BB35E4"/>
    <w:rsid w:val="00BB3C33"/>
    <w:rsid w:val="00BB42C8"/>
    <w:rsid w:val="00BB4389"/>
    <w:rsid w:val="00BB4CB9"/>
    <w:rsid w:val="00BB4EB7"/>
    <w:rsid w:val="00BB5257"/>
    <w:rsid w:val="00BB52D4"/>
    <w:rsid w:val="00BB5446"/>
    <w:rsid w:val="00BB5755"/>
    <w:rsid w:val="00BB5974"/>
    <w:rsid w:val="00BB5E21"/>
    <w:rsid w:val="00BB6A7B"/>
    <w:rsid w:val="00BB7597"/>
    <w:rsid w:val="00BC17CE"/>
    <w:rsid w:val="00BC207D"/>
    <w:rsid w:val="00BC3054"/>
    <w:rsid w:val="00BC36C5"/>
    <w:rsid w:val="00BC3C5F"/>
    <w:rsid w:val="00BC40A8"/>
    <w:rsid w:val="00BC4B3F"/>
    <w:rsid w:val="00BC50AE"/>
    <w:rsid w:val="00BC5437"/>
    <w:rsid w:val="00BC5702"/>
    <w:rsid w:val="00BC5D65"/>
    <w:rsid w:val="00BC62CB"/>
    <w:rsid w:val="00BC707B"/>
    <w:rsid w:val="00BC7158"/>
    <w:rsid w:val="00BC7C35"/>
    <w:rsid w:val="00BC7F01"/>
    <w:rsid w:val="00BD005B"/>
    <w:rsid w:val="00BD0310"/>
    <w:rsid w:val="00BD08D3"/>
    <w:rsid w:val="00BD1694"/>
    <w:rsid w:val="00BD28BE"/>
    <w:rsid w:val="00BD316C"/>
    <w:rsid w:val="00BD35B5"/>
    <w:rsid w:val="00BD38BD"/>
    <w:rsid w:val="00BD41C7"/>
    <w:rsid w:val="00BD48B8"/>
    <w:rsid w:val="00BD5DF2"/>
    <w:rsid w:val="00BD6154"/>
    <w:rsid w:val="00BD6B8B"/>
    <w:rsid w:val="00BD72C2"/>
    <w:rsid w:val="00BD7A05"/>
    <w:rsid w:val="00BE04CF"/>
    <w:rsid w:val="00BE0D37"/>
    <w:rsid w:val="00BE15EE"/>
    <w:rsid w:val="00BE22F2"/>
    <w:rsid w:val="00BE25AF"/>
    <w:rsid w:val="00BE270D"/>
    <w:rsid w:val="00BE2AD2"/>
    <w:rsid w:val="00BE2D71"/>
    <w:rsid w:val="00BE2EA7"/>
    <w:rsid w:val="00BE2FC5"/>
    <w:rsid w:val="00BE30D5"/>
    <w:rsid w:val="00BE395A"/>
    <w:rsid w:val="00BE3ABA"/>
    <w:rsid w:val="00BE3B64"/>
    <w:rsid w:val="00BE3DA7"/>
    <w:rsid w:val="00BE4128"/>
    <w:rsid w:val="00BE448E"/>
    <w:rsid w:val="00BE468A"/>
    <w:rsid w:val="00BE4E7F"/>
    <w:rsid w:val="00BE50EC"/>
    <w:rsid w:val="00BE51EB"/>
    <w:rsid w:val="00BE6691"/>
    <w:rsid w:val="00BE6CCE"/>
    <w:rsid w:val="00BE6F34"/>
    <w:rsid w:val="00BE7A41"/>
    <w:rsid w:val="00BF031C"/>
    <w:rsid w:val="00BF04A2"/>
    <w:rsid w:val="00BF05CB"/>
    <w:rsid w:val="00BF05E8"/>
    <w:rsid w:val="00BF07FB"/>
    <w:rsid w:val="00BF0A32"/>
    <w:rsid w:val="00BF0E8A"/>
    <w:rsid w:val="00BF13D8"/>
    <w:rsid w:val="00BF15E9"/>
    <w:rsid w:val="00BF16DA"/>
    <w:rsid w:val="00BF22AD"/>
    <w:rsid w:val="00BF254E"/>
    <w:rsid w:val="00BF3CD9"/>
    <w:rsid w:val="00BF4F33"/>
    <w:rsid w:val="00BF4F4D"/>
    <w:rsid w:val="00BF577D"/>
    <w:rsid w:val="00BF5C2D"/>
    <w:rsid w:val="00BF6BF0"/>
    <w:rsid w:val="00BF6D92"/>
    <w:rsid w:val="00BF6EA6"/>
    <w:rsid w:val="00BF7100"/>
    <w:rsid w:val="00BF76C3"/>
    <w:rsid w:val="00BF7743"/>
    <w:rsid w:val="00BF77C3"/>
    <w:rsid w:val="00C00904"/>
    <w:rsid w:val="00C01C2F"/>
    <w:rsid w:val="00C01F91"/>
    <w:rsid w:val="00C024C1"/>
    <w:rsid w:val="00C027BE"/>
    <w:rsid w:val="00C02904"/>
    <w:rsid w:val="00C02CCE"/>
    <w:rsid w:val="00C02FF0"/>
    <w:rsid w:val="00C03002"/>
    <w:rsid w:val="00C036D4"/>
    <w:rsid w:val="00C03835"/>
    <w:rsid w:val="00C03836"/>
    <w:rsid w:val="00C039E2"/>
    <w:rsid w:val="00C03B7A"/>
    <w:rsid w:val="00C03F46"/>
    <w:rsid w:val="00C041A5"/>
    <w:rsid w:val="00C04609"/>
    <w:rsid w:val="00C04612"/>
    <w:rsid w:val="00C04EAE"/>
    <w:rsid w:val="00C054A2"/>
    <w:rsid w:val="00C05982"/>
    <w:rsid w:val="00C05983"/>
    <w:rsid w:val="00C06576"/>
    <w:rsid w:val="00C0672E"/>
    <w:rsid w:val="00C069DC"/>
    <w:rsid w:val="00C06B01"/>
    <w:rsid w:val="00C07247"/>
    <w:rsid w:val="00C0737E"/>
    <w:rsid w:val="00C07538"/>
    <w:rsid w:val="00C075E0"/>
    <w:rsid w:val="00C07669"/>
    <w:rsid w:val="00C0798F"/>
    <w:rsid w:val="00C105A1"/>
    <w:rsid w:val="00C10666"/>
    <w:rsid w:val="00C10790"/>
    <w:rsid w:val="00C107F2"/>
    <w:rsid w:val="00C11152"/>
    <w:rsid w:val="00C11325"/>
    <w:rsid w:val="00C1151C"/>
    <w:rsid w:val="00C11594"/>
    <w:rsid w:val="00C12661"/>
    <w:rsid w:val="00C12946"/>
    <w:rsid w:val="00C13CE3"/>
    <w:rsid w:val="00C146FF"/>
    <w:rsid w:val="00C14F82"/>
    <w:rsid w:val="00C15D8D"/>
    <w:rsid w:val="00C17427"/>
    <w:rsid w:val="00C17829"/>
    <w:rsid w:val="00C178C5"/>
    <w:rsid w:val="00C17967"/>
    <w:rsid w:val="00C20160"/>
    <w:rsid w:val="00C209A4"/>
    <w:rsid w:val="00C20EDD"/>
    <w:rsid w:val="00C21084"/>
    <w:rsid w:val="00C240CD"/>
    <w:rsid w:val="00C241BA"/>
    <w:rsid w:val="00C244FE"/>
    <w:rsid w:val="00C25055"/>
    <w:rsid w:val="00C26662"/>
    <w:rsid w:val="00C26897"/>
    <w:rsid w:val="00C26A00"/>
    <w:rsid w:val="00C272F5"/>
    <w:rsid w:val="00C3023D"/>
    <w:rsid w:val="00C3036E"/>
    <w:rsid w:val="00C311C5"/>
    <w:rsid w:val="00C31FCF"/>
    <w:rsid w:val="00C32624"/>
    <w:rsid w:val="00C32A5E"/>
    <w:rsid w:val="00C32F4E"/>
    <w:rsid w:val="00C33BE3"/>
    <w:rsid w:val="00C33D39"/>
    <w:rsid w:val="00C341B7"/>
    <w:rsid w:val="00C34D65"/>
    <w:rsid w:val="00C35FE0"/>
    <w:rsid w:val="00C36907"/>
    <w:rsid w:val="00C371AB"/>
    <w:rsid w:val="00C37C81"/>
    <w:rsid w:val="00C37D01"/>
    <w:rsid w:val="00C37ED7"/>
    <w:rsid w:val="00C40258"/>
    <w:rsid w:val="00C4075A"/>
    <w:rsid w:val="00C412AB"/>
    <w:rsid w:val="00C416F2"/>
    <w:rsid w:val="00C419E7"/>
    <w:rsid w:val="00C41B3F"/>
    <w:rsid w:val="00C41D72"/>
    <w:rsid w:val="00C42051"/>
    <w:rsid w:val="00C432A8"/>
    <w:rsid w:val="00C43A8E"/>
    <w:rsid w:val="00C44107"/>
    <w:rsid w:val="00C44896"/>
    <w:rsid w:val="00C44D2B"/>
    <w:rsid w:val="00C44FCA"/>
    <w:rsid w:val="00C45066"/>
    <w:rsid w:val="00C45157"/>
    <w:rsid w:val="00C458DD"/>
    <w:rsid w:val="00C461BD"/>
    <w:rsid w:val="00C46288"/>
    <w:rsid w:val="00C46FB2"/>
    <w:rsid w:val="00C474D1"/>
    <w:rsid w:val="00C5011E"/>
    <w:rsid w:val="00C5022C"/>
    <w:rsid w:val="00C50DD9"/>
    <w:rsid w:val="00C5103B"/>
    <w:rsid w:val="00C51177"/>
    <w:rsid w:val="00C51BEC"/>
    <w:rsid w:val="00C5207E"/>
    <w:rsid w:val="00C52732"/>
    <w:rsid w:val="00C52B3B"/>
    <w:rsid w:val="00C52D25"/>
    <w:rsid w:val="00C53257"/>
    <w:rsid w:val="00C5469F"/>
    <w:rsid w:val="00C54D6D"/>
    <w:rsid w:val="00C55280"/>
    <w:rsid w:val="00C559A5"/>
    <w:rsid w:val="00C56713"/>
    <w:rsid w:val="00C56ABF"/>
    <w:rsid w:val="00C57CDF"/>
    <w:rsid w:val="00C57E5A"/>
    <w:rsid w:val="00C6189A"/>
    <w:rsid w:val="00C61E2A"/>
    <w:rsid w:val="00C61E55"/>
    <w:rsid w:val="00C626B6"/>
    <w:rsid w:val="00C6313B"/>
    <w:rsid w:val="00C646F4"/>
    <w:rsid w:val="00C64AE8"/>
    <w:rsid w:val="00C64CCB"/>
    <w:rsid w:val="00C65B49"/>
    <w:rsid w:val="00C666FE"/>
    <w:rsid w:val="00C66F56"/>
    <w:rsid w:val="00C6725D"/>
    <w:rsid w:val="00C67E81"/>
    <w:rsid w:val="00C67E96"/>
    <w:rsid w:val="00C70DCA"/>
    <w:rsid w:val="00C720E3"/>
    <w:rsid w:val="00C72402"/>
    <w:rsid w:val="00C72600"/>
    <w:rsid w:val="00C73430"/>
    <w:rsid w:val="00C73721"/>
    <w:rsid w:val="00C73957"/>
    <w:rsid w:val="00C73F1B"/>
    <w:rsid w:val="00C740E1"/>
    <w:rsid w:val="00C74735"/>
    <w:rsid w:val="00C75771"/>
    <w:rsid w:val="00C76051"/>
    <w:rsid w:val="00C761A8"/>
    <w:rsid w:val="00C763F2"/>
    <w:rsid w:val="00C76466"/>
    <w:rsid w:val="00C770AF"/>
    <w:rsid w:val="00C7718C"/>
    <w:rsid w:val="00C776E7"/>
    <w:rsid w:val="00C77B82"/>
    <w:rsid w:val="00C801F3"/>
    <w:rsid w:val="00C807B7"/>
    <w:rsid w:val="00C80DA0"/>
    <w:rsid w:val="00C81440"/>
    <w:rsid w:val="00C81794"/>
    <w:rsid w:val="00C81D10"/>
    <w:rsid w:val="00C81F9D"/>
    <w:rsid w:val="00C826E0"/>
    <w:rsid w:val="00C82960"/>
    <w:rsid w:val="00C82E53"/>
    <w:rsid w:val="00C8342E"/>
    <w:rsid w:val="00C8376B"/>
    <w:rsid w:val="00C839FF"/>
    <w:rsid w:val="00C83C23"/>
    <w:rsid w:val="00C84D68"/>
    <w:rsid w:val="00C8570F"/>
    <w:rsid w:val="00C8588D"/>
    <w:rsid w:val="00C86B07"/>
    <w:rsid w:val="00C87798"/>
    <w:rsid w:val="00C90DD3"/>
    <w:rsid w:val="00C9206C"/>
    <w:rsid w:val="00C92D78"/>
    <w:rsid w:val="00C92FD3"/>
    <w:rsid w:val="00C93B83"/>
    <w:rsid w:val="00C93C36"/>
    <w:rsid w:val="00C9408B"/>
    <w:rsid w:val="00C946E3"/>
    <w:rsid w:val="00C94ADF"/>
    <w:rsid w:val="00C94FBE"/>
    <w:rsid w:val="00C9668C"/>
    <w:rsid w:val="00C96C95"/>
    <w:rsid w:val="00C9721C"/>
    <w:rsid w:val="00C97796"/>
    <w:rsid w:val="00C977FB"/>
    <w:rsid w:val="00CA06F7"/>
    <w:rsid w:val="00CA0B04"/>
    <w:rsid w:val="00CA1056"/>
    <w:rsid w:val="00CA188F"/>
    <w:rsid w:val="00CA2244"/>
    <w:rsid w:val="00CA27E1"/>
    <w:rsid w:val="00CA2B40"/>
    <w:rsid w:val="00CA3134"/>
    <w:rsid w:val="00CA3B02"/>
    <w:rsid w:val="00CA3FB2"/>
    <w:rsid w:val="00CA4578"/>
    <w:rsid w:val="00CA4735"/>
    <w:rsid w:val="00CA4A66"/>
    <w:rsid w:val="00CA4CF6"/>
    <w:rsid w:val="00CA4FB0"/>
    <w:rsid w:val="00CA4FE4"/>
    <w:rsid w:val="00CA5453"/>
    <w:rsid w:val="00CA5A73"/>
    <w:rsid w:val="00CA5FCD"/>
    <w:rsid w:val="00CA6BE1"/>
    <w:rsid w:val="00CA7986"/>
    <w:rsid w:val="00CA7D91"/>
    <w:rsid w:val="00CA7DA0"/>
    <w:rsid w:val="00CA7E3E"/>
    <w:rsid w:val="00CB02E8"/>
    <w:rsid w:val="00CB0A2C"/>
    <w:rsid w:val="00CB0B31"/>
    <w:rsid w:val="00CB0CEC"/>
    <w:rsid w:val="00CB1718"/>
    <w:rsid w:val="00CB1C43"/>
    <w:rsid w:val="00CB2BF4"/>
    <w:rsid w:val="00CB33D3"/>
    <w:rsid w:val="00CB363A"/>
    <w:rsid w:val="00CB4207"/>
    <w:rsid w:val="00CB453A"/>
    <w:rsid w:val="00CB4773"/>
    <w:rsid w:val="00CB4EE5"/>
    <w:rsid w:val="00CB5173"/>
    <w:rsid w:val="00CB5FD6"/>
    <w:rsid w:val="00CB606F"/>
    <w:rsid w:val="00CB649D"/>
    <w:rsid w:val="00CB66AF"/>
    <w:rsid w:val="00CB76D3"/>
    <w:rsid w:val="00CB7892"/>
    <w:rsid w:val="00CB798F"/>
    <w:rsid w:val="00CC07C5"/>
    <w:rsid w:val="00CC07E0"/>
    <w:rsid w:val="00CC0A90"/>
    <w:rsid w:val="00CC111A"/>
    <w:rsid w:val="00CC1E06"/>
    <w:rsid w:val="00CC2548"/>
    <w:rsid w:val="00CC25E8"/>
    <w:rsid w:val="00CC35FD"/>
    <w:rsid w:val="00CC402D"/>
    <w:rsid w:val="00CC450D"/>
    <w:rsid w:val="00CC5720"/>
    <w:rsid w:val="00CC588B"/>
    <w:rsid w:val="00CC62D7"/>
    <w:rsid w:val="00CC6539"/>
    <w:rsid w:val="00CC6E85"/>
    <w:rsid w:val="00CC7A92"/>
    <w:rsid w:val="00CC7D13"/>
    <w:rsid w:val="00CC7D37"/>
    <w:rsid w:val="00CD018F"/>
    <w:rsid w:val="00CD01DE"/>
    <w:rsid w:val="00CD10BB"/>
    <w:rsid w:val="00CD13CB"/>
    <w:rsid w:val="00CD1A7B"/>
    <w:rsid w:val="00CD1B8F"/>
    <w:rsid w:val="00CD2A21"/>
    <w:rsid w:val="00CD2FEF"/>
    <w:rsid w:val="00CD3D93"/>
    <w:rsid w:val="00CD3FE6"/>
    <w:rsid w:val="00CD40E5"/>
    <w:rsid w:val="00CD4292"/>
    <w:rsid w:val="00CD59DD"/>
    <w:rsid w:val="00CD6477"/>
    <w:rsid w:val="00CD7BF4"/>
    <w:rsid w:val="00CD7DC5"/>
    <w:rsid w:val="00CE0A8D"/>
    <w:rsid w:val="00CE0C24"/>
    <w:rsid w:val="00CE1D14"/>
    <w:rsid w:val="00CE2262"/>
    <w:rsid w:val="00CE2263"/>
    <w:rsid w:val="00CE2420"/>
    <w:rsid w:val="00CE2AEA"/>
    <w:rsid w:val="00CE309B"/>
    <w:rsid w:val="00CE3347"/>
    <w:rsid w:val="00CE3C72"/>
    <w:rsid w:val="00CE4A31"/>
    <w:rsid w:val="00CE5A5A"/>
    <w:rsid w:val="00CE7215"/>
    <w:rsid w:val="00CE763B"/>
    <w:rsid w:val="00CE7B77"/>
    <w:rsid w:val="00CE7D60"/>
    <w:rsid w:val="00CF05A5"/>
    <w:rsid w:val="00CF25AA"/>
    <w:rsid w:val="00CF2861"/>
    <w:rsid w:val="00CF2A8A"/>
    <w:rsid w:val="00CF34B7"/>
    <w:rsid w:val="00CF37FD"/>
    <w:rsid w:val="00CF3868"/>
    <w:rsid w:val="00CF3BBB"/>
    <w:rsid w:val="00CF3C46"/>
    <w:rsid w:val="00CF40F2"/>
    <w:rsid w:val="00CF4AA5"/>
    <w:rsid w:val="00CF50E2"/>
    <w:rsid w:val="00CF60BD"/>
    <w:rsid w:val="00CF694F"/>
    <w:rsid w:val="00CF6A45"/>
    <w:rsid w:val="00CF6D13"/>
    <w:rsid w:val="00CF7724"/>
    <w:rsid w:val="00CF7791"/>
    <w:rsid w:val="00CF7D6A"/>
    <w:rsid w:val="00D00237"/>
    <w:rsid w:val="00D007A2"/>
    <w:rsid w:val="00D01325"/>
    <w:rsid w:val="00D01431"/>
    <w:rsid w:val="00D01B6B"/>
    <w:rsid w:val="00D024B4"/>
    <w:rsid w:val="00D03370"/>
    <w:rsid w:val="00D03EA6"/>
    <w:rsid w:val="00D04753"/>
    <w:rsid w:val="00D04D3B"/>
    <w:rsid w:val="00D05F8F"/>
    <w:rsid w:val="00D06553"/>
    <w:rsid w:val="00D06789"/>
    <w:rsid w:val="00D06C17"/>
    <w:rsid w:val="00D06C59"/>
    <w:rsid w:val="00D06F07"/>
    <w:rsid w:val="00D07069"/>
    <w:rsid w:val="00D07D34"/>
    <w:rsid w:val="00D1055D"/>
    <w:rsid w:val="00D10679"/>
    <w:rsid w:val="00D10FA4"/>
    <w:rsid w:val="00D11C86"/>
    <w:rsid w:val="00D11D0F"/>
    <w:rsid w:val="00D11FA5"/>
    <w:rsid w:val="00D12AE3"/>
    <w:rsid w:val="00D12CFF"/>
    <w:rsid w:val="00D12E33"/>
    <w:rsid w:val="00D132F6"/>
    <w:rsid w:val="00D13A71"/>
    <w:rsid w:val="00D13B3A"/>
    <w:rsid w:val="00D1477D"/>
    <w:rsid w:val="00D14AF0"/>
    <w:rsid w:val="00D14F66"/>
    <w:rsid w:val="00D15157"/>
    <w:rsid w:val="00D151F8"/>
    <w:rsid w:val="00D15530"/>
    <w:rsid w:val="00D15AC3"/>
    <w:rsid w:val="00D16701"/>
    <w:rsid w:val="00D179D3"/>
    <w:rsid w:val="00D2076E"/>
    <w:rsid w:val="00D2109F"/>
    <w:rsid w:val="00D2177A"/>
    <w:rsid w:val="00D21EA5"/>
    <w:rsid w:val="00D2223C"/>
    <w:rsid w:val="00D226F6"/>
    <w:rsid w:val="00D231D8"/>
    <w:rsid w:val="00D23C23"/>
    <w:rsid w:val="00D2433A"/>
    <w:rsid w:val="00D25B69"/>
    <w:rsid w:val="00D25B77"/>
    <w:rsid w:val="00D264C2"/>
    <w:rsid w:val="00D267F1"/>
    <w:rsid w:val="00D26866"/>
    <w:rsid w:val="00D26BA3"/>
    <w:rsid w:val="00D27848"/>
    <w:rsid w:val="00D300E9"/>
    <w:rsid w:val="00D30419"/>
    <w:rsid w:val="00D30CE7"/>
    <w:rsid w:val="00D311D9"/>
    <w:rsid w:val="00D312C7"/>
    <w:rsid w:val="00D3145D"/>
    <w:rsid w:val="00D31E53"/>
    <w:rsid w:val="00D31E8A"/>
    <w:rsid w:val="00D31EE7"/>
    <w:rsid w:val="00D3210E"/>
    <w:rsid w:val="00D3261E"/>
    <w:rsid w:val="00D32847"/>
    <w:rsid w:val="00D32A5B"/>
    <w:rsid w:val="00D33A09"/>
    <w:rsid w:val="00D3405D"/>
    <w:rsid w:val="00D3481B"/>
    <w:rsid w:val="00D34A26"/>
    <w:rsid w:val="00D3513E"/>
    <w:rsid w:val="00D35A6E"/>
    <w:rsid w:val="00D35C06"/>
    <w:rsid w:val="00D360B4"/>
    <w:rsid w:val="00D37184"/>
    <w:rsid w:val="00D372C4"/>
    <w:rsid w:val="00D37963"/>
    <w:rsid w:val="00D37A43"/>
    <w:rsid w:val="00D37B31"/>
    <w:rsid w:val="00D402DD"/>
    <w:rsid w:val="00D4055E"/>
    <w:rsid w:val="00D407C3"/>
    <w:rsid w:val="00D40F65"/>
    <w:rsid w:val="00D40F75"/>
    <w:rsid w:val="00D410C7"/>
    <w:rsid w:val="00D42CE3"/>
    <w:rsid w:val="00D431B7"/>
    <w:rsid w:val="00D43208"/>
    <w:rsid w:val="00D441AE"/>
    <w:rsid w:val="00D44DA9"/>
    <w:rsid w:val="00D44DB4"/>
    <w:rsid w:val="00D454E0"/>
    <w:rsid w:val="00D45CC2"/>
    <w:rsid w:val="00D462E5"/>
    <w:rsid w:val="00D474A2"/>
    <w:rsid w:val="00D508FA"/>
    <w:rsid w:val="00D51418"/>
    <w:rsid w:val="00D51A78"/>
    <w:rsid w:val="00D523E8"/>
    <w:rsid w:val="00D52A1D"/>
    <w:rsid w:val="00D53100"/>
    <w:rsid w:val="00D53DC2"/>
    <w:rsid w:val="00D53FE9"/>
    <w:rsid w:val="00D5439B"/>
    <w:rsid w:val="00D54630"/>
    <w:rsid w:val="00D548C2"/>
    <w:rsid w:val="00D5548A"/>
    <w:rsid w:val="00D55662"/>
    <w:rsid w:val="00D55C79"/>
    <w:rsid w:val="00D55D9B"/>
    <w:rsid w:val="00D56888"/>
    <w:rsid w:val="00D57171"/>
    <w:rsid w:val="00D574E9"/>
    <w:rsid w:val="00D5764A"/>
    <w:rsid w:val="00D5789A"/>
    <w:rsid w:val="00D60068"/>
    <w:rsid w:val="00D60DCA"/>
    <w:rsid w:val="00D60F8B"/>
    <w:rsid w:val="00D61170"/>
    <w:rsid w:val="00D6155A"/>
    <w:rsid w:val="00D61758"/>
    <w:rsid w:val="00D617F9"/>
    <w:rsid w:val="00D61DB7"/>
    <w:rsid w:val="00D620B2"/>
    <w:rsid w:val="00D62131"/>
    <w:rsid w:val="00D63431"/>
    <w:rsid w:val="00D635D3"/>
    <w:rsid w:val="00D63969"/>
    <w:rsid w:val="00D6422C"/>
    <w:rsid w:val="00D6454E"/>
    <w:rsid w:val="00D64888"/>
    <w:rsid w:val="00D650B4"/>
    <w:rsid w:val="00D65D74"/>
    <w:rsid w:val="00D66EC1"/>
    <w:rsid w:val="00D70210"/>
    <w:rsid w:val="00D70994"/>
    <w:rsid w:val="00D70B01"/>
    <w:rsid w:val="00D70D0F"/>
    <w:rsid w:val="00D70D55"/>
    <w:rsid w:val="00D71307"/>
    <w:rsid w:val="00D71FF5"/>
    <w:rsid w:val="00D724EC"/>
    <w:rsid w:val="00D72578"/>
    <w:rsid w:val="00D725C3"/>
    <w:rsid w:val="00D72700"/>
    <w:rsid w:val="00D72980"/>
    <w:rsid w:val="00D72A92"/>
    <w:rsid w:val="00D72E0F"/>
    <w:rsid w:val="00D73313"/>
    <w:rsid w:val="00D739CB"/>
    <w:rsid w:val="00D73A90"/>
    <w:rsid w:val="00D73CAC"/>
    <w:rsid w:val="00D73FFE"/>
    <w:rsid w:val="00D7476F"/>
    <w:rsid w:val="00D74932"/>
    <w:rsid w:val="00D74B13"/>
    <w:rsid w:val="00D74B37"/>
    <w:rsid w:val="00D74C9E"/>
    <w:rsid w:val="00D75599"/>
    <w:rsid w:val="00D75963"/>
    <w:rsid w:val="00D7641C"/>
    <w:rsid w:val="00D76AB0"/>
    <w:rsid w:val="00D7770C"/>
    <w:rsid w:val="00D778B1"/>
    <w:rsid w:val="00D77B14"/>
    <w:rsid w:val="00D77B76"/>
    <w:rsid w:val="00D77D4D"/>
    <w:rsid w:val="00D77E45"/>
    <w:rsid w:val="00D80982"/>
    <w:rsid w:val="00D80F4C"/>
    <w:rsid w:val="00D8111F"/>
    <w:rsid w:val="00D81507"/>
    <w:rsid w:val="00D82684"/>
    <w:rsid w:val="00D8278C"/>
    <w:rsid w:val="00D82844"/>
    <w:rsid w:val="00D82911"/>
    <w:rsid w:val="00D8444A"/>
    <w:rsid w:val="00D84657"/>
    <w:rsid w:val="00D849E6"/>
    <w:rsid w:val="00D84A84"/>
    <w:rsid w:val="00D854A9"/>
    <w:rsid w:val="00D86384"/>
    <w:rsid w:val="00D869D7"/>
    <w:rsid w:val="00D875C4"/>
    <w:rsid w:val="00D87C7B"/>
    <w:rsid w:val="00D87CF4"/>
    <w:rsid w:val="00D9018D"/>
    <w:rsid w:val="00D90609"/>
    <w:rsid w:val="00D9145A"/>
    <w:rsid w:val="00D91765"/>
    <w:rsid w:val="00D91CBC"/>
    <w:rsid w:val="00D91EB2"/>
    <w:rsid w:val="00D91FD1"/>
    <w:rsid w:val="00D92636"/>
    <w:rsid w:val="00D927E5"/>
    <w:rsid w:val="00D92F26"/>
    <w:rsid w:val="00D9463A"/>
    <w:rsid w:val="00D94DBD"/>
    <w:rsid w:val="00D95214"/>
    <w:rsid w:val="00D952EC"/>
    <w:rsid w:val="00D954B4"/>
    <w:rsid w:val="00D95CD2"/>
    <w:rsid w:val="00D95DB4"/>
    <w:rsid w:val="00D97229"/>
    <w:rsid w:val="00D97A28"/>
    <w:rsid w:val="00DA0494"/>
    <w:rsid w:val="00DA06E7"/>
    <w:rsid w:val="00DA0A67"/>
    <w:rsid w:val="00DA139C"/>
    <w:rsid w:val="00DA2166"/>
    <w:rsid w:val="00DA21E6"/>
    <w:rsid w:val="00DA2C45"/>
    <w:rsid w:val="00DA3A36"/>
    <w:rsid w:val="00DA3F76"/>
    <w:rsid w:val="00DA4D60"/>
    <w:rsid w:val="00DA59BD"/>
    <w:rsid w:val="00DA7040"/>
    <w:rsid w:val="00DA73B7"/>
    <w:rsid w:val="00DA73BA"/>
    <w:rsid w:val="00DA7596"/>
    <w:rsid w:val="00DA773D"/>
    <w:rsid w:val="00DB0188"/>
    <w:rsid w:val="00DB0624"/>
    <w:rsid w:val="00DB0695"/>
    <w:rsid w:val="00DB118F"/>
    <w:rsid w:val="00DB1789"/>
    <w:rsid w:val="00DB1EE8"/>
    <w:rsid w:val="00DB2140"/>
    <w:rsid w:val="00DB24D6"/>
    <w:rsid w:val="00DB2D93"/>
    <w:rsid w:val="00DB4212"/>
    <w:rsid w:val="00DB425C"/>
    <w:rsid w:val="00DB5288"/>
    <w:rsid w:val="00DB5F55"/>
    <w:rsid w:val="00DB678D"/>
    <w:rsid w:val="00DB767B"/>
    <w:rsid w:val="00DB7733"/>
    <w:rsid w:val="00DC02B8"/>
    <w:rsid w:val="00DC0CBB"/>
    <w:rsid w:val="00DC161F"/>
    <w:rsid w:val="00DC2859"/>
    <w:rsid w:val="00DC309E"/>
    <w:rsid w:val="00DC34AA"/>
    <w:rsid w:val="00DC35B1"/>
    <w:rsid w:val="00DC3692"/>
    <w:rsid w:val="00DC4021"/>
    <w:rsid w:val="00DC43E6"/>
    <w:rsid w:val="00DC591E"/>
    <w:rsid w:val="00DC5982"/>
    <w:rsid w:val="00DC64AE"/>
    <w:rsid w:val="00DC68D1"/>
    <w:rsid w:val="00DC6922"/>
    <w:rsid w:val="00DC6BCF"/>
    <w:rsid w:val="00DC7992"/>
    <w:rsid w:val="00DC7DBF"/>
    <w:rsid w:val="00DD0BB8"/>
    <w:rsid w:val="00DD0E10"/>
    <w:rsid w:val="00DD0E6B"/>
    <w:rsid w:val="00DD110D"/>
    <w:rsid w:val="00DD23CC"/>
    <w:rsid w:val="00DD2E1C"/>
    <w:rsid w:val="00DD31BC"/>
    <w:rsid w:val="00DD48B0"/>
    <w:rsid w:val="00DD4ABD"/>
    <w:rsid w:val="00DD4D69"/>
    <w:rsid w:val="00DD5F28"/>
    <w:rsid w:val="00DD62E4"/>
    <w:rsid w:val="00DD68E9"/>
    <w:rsid w:val="00DD7403"/>
    <w:rsid w:val="00DD7B20"/>
    <w:rsid w:val="00DD7E4A"/>
    <w:rsid w:val="00DE0234"/>
    <w:rsid w:val="00DE0A1F"/>
    <w:rsid w:val="00DE0A2C"/>
    <w:rsid w:val="00DE1092"/>
    <w:rsid w:val="00DE1D10"/>
    <w:rsid w:val="00DE2548"/>
    <w:rsid w:val="00DE275E"/>
    <w:rsid w:val="00DE2D24"/>
    <w:rsid w:val="00DE4233"/>
    <w:rsid w:val="00DE4AAA"/>
    <w:rsid w:val="00DE4D5B"/>
    <w:rsid w:val="00DE4DD9"/>
    <w:rsid w:val="00DE571D"/>
    <w:rsid w:val="00DE5880"/>
    <w:rsid w:val="00DE5C1E"/>
    <w:rsid w:val="00DE6A9C"/>
    <w:rsid w:val="00DE7931"/>
    <w:rsid w:val="00DF0434"/>
    <w:rsid w:val="00DF0D11"/>
    <w:rsid w:val="00DF180B"/>
    <w:rsid w:val="00DF2F8F"/>
    <w:rsid w:val="00DF32DD"/>
    <w:rsid w:val="00DF42E7"/>
    <w:rsid w:val="00DF5878"/>
    <w:rsid w:val="00DF5FC2"/>
    <w:rsid w:val="00DF62A7"/>
    <w:rsid w:val="00DF62D7"/>
    <w:rsid w:val="00DF67E4"/>
    <w:rsid w:val="00DF6B23"/>
    <w:rsid w:val="00DF6D7D"/>
    <w:rsid w:val="00DF6E79"/>
    <w:rsid w:val="00DF736B"/>
    <w:rsid w:val="00DF74DD"/>
    <w:rsid w:val="00DF7802"/>
    <w:rsid w:val="00DF7AB2"/>
    <w:rsid w:val="00DF7EA5"/>
    <w:rsid w:val="00DF7F36"/>
    <w:rsid w:val="00E00064"/>
    <w:rsid w:val="00E00158"/>
    <w:rsid w:val="00E00429"/>
    <w:rsid w:val="00E00591"/>
    <w:rsid w:val="00E009CC"/>
    <w:rsid w:val="00E00E8D"/>
    <w:rsid w:val="00E01598"/>
    <w:rsid w:val="00E01967"/>
    <w:rsid w:val="00E0199A"/>
    <w:rsid w:val="00E01DCB"/>
    <w:rsid w:val="00E01F6D"/>
    <w:rsid w:val="00E0207A"/>
    <w:rsid w:val="00E02309"/>
    <w:rsid w:val="00E03163"/>
    <w:rsid w:val="00E031A5"/>
    <w:rsid w:val="00E03B58"/>
    <w:rsid w:val="00E03E61"/>
    <w:rsid w:val="00E0449A"/>
    <w:rsid w:val="00E04904"/>
    <w:rsid w:val="00E05765"/>
    <w:rsid w:val="00E0598E"/>
    <w:rsid w:val="00E06947"/>
    <w:rsid w:val="00E078F6"/>
    <w:rsid w:val="00E07925"/>
    <w:rsid w:val="00E07B95"/>
    <w:rsid w:val="00E07BE5"/>
    <w:rsid w:val="00E07F44"/>
    <w:rsid w:val="00E10492"/>
    <w:rsid w:val="00E1125C"/>
    <w:rsid w:val="00E11AF8"/>
    <w:rsid w:val="00E12180"/>
    <w:rsid w:val="00E1225E"/>
    <w:rsid w:val="00E1240E"/>
    <w:rsid w:val="00E12532"/>
    <w:rsid w:val="00E12E59"/>
    <w:rsid w:val="00E13422"/>
    <w:rsid w:val="00E13E4A"/>
    <w:rsid w:val="00E14462"/>
    <w:rsid w:val="00E14503"/>
    <w:rsid w:val="00E1477A"/>
    <w:rsid w:val="00E14B71"/>
    <w:rsid w:val="00E14E64"/>
    <w:rsid w:val="00E14FD0"/>
    <w:rsid w:val="00E1545B"/>
    <w:rsid w:val="00E15B35"/>
    <w:rsid w:val="00E15C25"/>
    <w:rsid w:val="00E15F71"/>
    <w:rsid w:val="00E16C98"/>
    <w:rsid w:val="00E16D73"/>
    <w:rsid w:val="00E16DAC"/>
    <w:rsid w:val="00E1753A"/>
    <w:rsid w:val="00E178C0"/>
    <w:rsid w:val="00E17B95"/>
    <w:rsid w:val="00E203DA"/>
    <w:rsid w:val="00E20EFE"/>
    <w:rsid w:val="00E218B4"/>
    <w:rsid w:val="00E22243"/>
    <w:rsid w:val="00E2267E"/>
    <w:rsid w:val="00E2282C"/>
    <w:rsid w:val="00E237F3"/>
    <w:rsid w:val="00E2389F"/>
    <w:rsid w:val="00E24925"/>
    <w:rsid w:val="00E24CD4"/>
    <w:rsid w:val="00E24DCD"/>
    <w:rsid w:val="00E2528A"/>
    <w:rsid w:val="00E2549E"/>
    <w:rsid w:val="00E25A5B"/>
    <w:rsid w:val="00E25D02"/>
    <w:rsid w:val="00E25EEC"/>
    <w:rsid w:val="00E262BA"/>
    <w:rsid w:val="00E26D53"/>
    <w:rsid w:val="00E27AB4"/>
    <w:rsid w:val="00E27E75"/>
    <w:rsid w:val="00E30392"/>
    <w:rsid w:val="00E30D1D"/>
    <w:rsid w:val="00E31793"/>
    <w:rsid w:val="00E326BE"/>
    <w:rsid w:val="00E32825"/>
    <w:rsid w:val="00E32987"/>
    <w:rsid w:val="00E32A2E"/>
    <w:rsid w:val="00E32D28"/>
    <w:rsid w:val="00E32F4E"/>
    <w:rsid w:val="00E347B1"/>
    <w:rsid w:val="00E352D3"/>
    <w:rsid w:val="00E35843"/>
    <w:rsid w:val="00E36880"/>
    <w:rsid w:val="00E36B05"/>
    <w:rsid w:val="00E36B97"/>
    <w:rsid w:val="00E37038"/>
    <w:rsid w:val="00E372BB"/>
    <w:rsid w:val="00E37F81"/>
    <w:rsid w:val="00E404E8"/>
    <w:rsid w:val="00E40CAD"/>
    <w:rsid w:val="00E410E3"/>
    <w:rsid w:val="00E411A9"/>
    <w:rsid w:val="00E418E7"/>
    <w:rsid w:val="00E41EF0"/>
    <w:rsid w:val="00E422A8"/>
    <w:rsid w:val="00E42B8A"/>
    <w:rsid w:val="00E42B92"/>
    <w:rsid w:val="00E4362A"/>
    <w:rsid w:val="00E438DD"/>
    <w:rsid w:val="00E44217"/>
    <w:rsid w:val="00E44259"/>
    <w:rsid w:val="00E44432"/>
    <w:rsid w:val="00E444F0"/>
    <w:rsid w:val="00E45C12"/>
    <w:rsid w:val="00E45EF8"/>
    <w:rsid w:val="00E462B7"/>
    <w:rsid w:val="00E46372"/>
    <w:rsid w:val="00E46474"/>
    <w:rsid w:val="00E4654F"/>
    <w:rsid w:val="00E46688"/>
    <w:rsid w:val="00E470DC"/>
    <w:rsid w:val="00E470EE"/>
    <w:rsid w:val="00E4737F"/>
    <w:rsid w:val="00E47C01"/>
    <w:rsid w:val="00E47F79"/>
    <w:rsid w:val="00E47FD3"/>
    <w:rsid w:val="00E50EFB"/>
    <w:rsid w:val="00E515D0"/>
    <w:rsid w:val="00E51A1D"/>
    <w:rsid w:val="00E51A9E"/>
    <w:rsid w:val="00E51E69"/>
    <w:rsid w:val="00E51FB1"/>
    <w:rsid w:val="00E528A4"/>
    <w:rsid w:val="00E53AFC"/>
    <w:rsid w:val="00E53BA7"/>
    <w:rsid w:val="00E53EB5"/>
    <w:rsid w:val="00E547E5"/>
    <w:rsid w:val="00E54ECF"/>
    <w:rsid w:val="00E5543E"/>
    <w:rsid w:val="00E560A3"/>
    <w:rsid w:val="00E56199"/>
    <w:rsid w:val="00E57F97"/>
    <w:rsid w:val="00E6033D"/>
    <w:rsid w:val="00E604DD"/>
    <w:rsid w:val="00E60AAD"/>
    <w:rsid w:val="00E60C7A"/>
    <w:rsid w:val="00E60D00"/>
    <w:rsid w:val="00E60E2A"/>
    <w:rsid w:val="00E61208"/>
    <w:rsid w:val="00E6129C"/>
    <w:rsid w:val="00E616A3"/>
    <w:rsid w:val="00E61A28"/>
    <w:rsid w:val="00E61B35"/>
    <w:rsid w:val="00E6256C"/>
    <w:rsid w:val="00E6277F"/>
    <w:rsid w:val="00E627BB"/>
    <w:rsid w:val="00E634B6"/>
    <w:rsid w:val="00E637D8"/>
    <w:rsid w:val="00E63DBC"/>
    <w:rsid w:val="00E642D4"/>
    <w:rsid w:val="00E6465B"/>
    <w:rsid w:val="00E66D5C"/>
    <w:rsid w:val="00E67061"/>
    <w:rsid w:val="00E67A8E"/>
    <w:rsid w:val="00E70ACE"/>
    <w:rsid w:val="00E70D45"/>
    <w:rsid w:val="00E70F26"/>
    <w:rsid w:val="00E71935"/>
    <w:rsid w:val="00E71E57"/>
    <w:rsid w:val="00E73222"/>
    <w:rsid w:val="00E7372B"/>
    <w:rsid w:val="00E73833"/>
    <w:rsid w:val="00E73FDF"/>
    <w:rsid w:val="00E74507"/>
    <w:rsid w:val="00E7455F"/>
    <w:rsid w:val="00E75348"/>
    <w:rsid w:val="00E75524"/>
    <w:rsid w:val="00E76025"/>
    <w:rsid w:val="00E7692C"/>
    <w:rsid w:val="00E77003"/>
    <w:rsid w:val="00E773BD"/>
    <w:rsid w:val="00E8003C"/>
    <w:rsid w:val="00E802F5"/>
    <w:rsid w:val="00E807B0"/>
    <w:rsid w:val="00E80B23"/>
    <w:rsid w:val="00E8182B"/>
    <w:rsid w:val="00E81933"/>
    <w:rsid w:val="00E819F7"/>
    <w:rsid w:val="00E81D05"/>
    <w:rsid w:val="00E8276A"/>
    <w:rsid w:val="00E845F0"/>
    <w:rsid w:val="00E85F46"/>
    <w:rsid w:val="00E86A0C"/>
    <w:rsid w:val="00E86AB5"/>
    <w:rsid w:val="00E86ACF"/>
    <w:rsid w:val="00E87DD2"/>
    <w:rsid w:val="00E9026A"/>
    <w:rsid w:val="00E90595"/>
    <w:rsid w:val="00E90D83"/>
    <w:rsid w:val="00E92215"/>
    <w:rsid w:val="00E925AA"/>
    <w:rsid w:val="00E92800"/>
    <w:rsid w:val="00E9299D"/>
    <w:rsid w:val="00E9340D"/>
    <w:rsid w:val="00E93452"/>
    <w:rsid w:val="00E93DD2"/>
    <w:rsid w:val="00E93EAB"/>
    <w:rsid w:val="00E9444E"/>
    <w:rsid w:val="00E9479B"/>
    <w:rsid w:val="00E94B80"/>
    <w:rsid w:val="00E950EA"/>
    <w:rsid w:val="00E95C59"/>
    <w:rsid w:val="00E95E96"/>
    <w:rsid w:val="00E96A79"/>
    <w:rsid w:val="00E96F52"/>
    <w:rsid w:val="00E96FB8"/>
    <w:rsid w:val="00E97089"/>
    <w:rsid w:val="00E9710B"/>
    <w:rsid w:val="00E9745B"/>
    <w:rsid w:val="00E9746B"/>
    <w:rsid w:val="00E974AA"/>
    <w:rsid w:val="00EA0119"/>
    <w:rsid w:val="00EA06C6"/>
    <w:rsid w:val="00EA0E20"/>
    <w:rsid w:val="00EA113F"/>
    <w:rsid w:val="00EA22E0"/>
    <w:rsid w:val="00EA2307"/>
    <w:rsid w:val="00EA2385"/>
    <w:rsid w:val="00EA2902"/>
    <w:rsid w:val="00EA2D3B"/>
    <w:rsid w:val="00EA3240"/>
    <w:rsid w:val="00EA3A6E"/>
    <w:rsid w:val="00EA3E91"/>
    <w:rsid w:val="00EA460C"/>
    <w:rsid w:val="00EA49AE"/>
    <w:rsid w:val="00EA4C5D"/>
    <w:rsid w:val="00EA4EEA"/>
    <w:rsid w:val="00EA5257"/>
    <w:rsid w:val="00EA542E"/>
    <w:rsid w:val="00EA5946"/>
    <w:rsid w:val="00EA59DF"/>
    <w:rsid w:val="00EA5D2E"/>
    <w:rsid w:val="00EA61FF"/>
    <w:rsid w:val="00EA63C9"/>
    <w:rsid w:val="00EA68BF"/>
    <w:rsid w:val="00EA73E7"/>
    <w:rsid w:val="00EA78E9"/>
    <w:rsid w:val="00EB0C9A"/>
    <w:rsid w:val="00EB1374"/>
    <w:rsid w:val="00EB14FC"/>
    <w:rsid w:val="00EB2909"/>
    <w:rsid w:val="00EB2A29"/>
    <w:rsid w:val="00EB3483"/>
    <w:rsid w:val="00EB3D1E"/>
    <w:rsid w:val="00EB4B90"/>
    <w:rsid w:val="00EB5A25"/>
    <w:rsid w:val="00EB5D36"/>
    <w:rsid w:val="00EB6551"/>
    <w:rsid w:val="00EB6945"/>
    <w:rsid w:val="00EB7A27"/>
    <w:rsid w:val="00EB7F0D"/>
    <w:rsid w:val="00EC0056"/>
    <w:rsid w:val="00EC0735"/>
    <w:rsid w:val="00EC0743"/>
    <w:rsid w:val="00EC10B7"/>
    <w:rsid w:val="00EC1105"/>
    <w:rsid w:val="00EC13E6"/>
    <w:rsid w:val="00EC19AA"/>
    <w:rsid w:val="00EC1ABD"/>
    <w:rsid w:val="00EC1DD6"/>
    <w:rsid w:val="00EC1E54"/>
    <w:rsid w:val="00EC2187"/>
    <w:rsid w:val="00EC2334"/>
    <w:rsid w:val="00EC2A9A"/>
    <w:rsid w:val="00EC2C5C"/>
    <w:rsid w:val="00EC2F4E"/>
    <w:rsid w:val="00EC3B3B"/>
    <w:rsid w:val="00EC4247"/>
    <w:rsid w:val="00EC45D5"/>
    <w:rsid w:val="00EC4ABC"/>
    <w:rsid w:val="00EC5AF2"/>
    <w:rsid w:val="00EC5B81"/>
    <w:rsid w:val="00EC67BC"/>
    <w:rsid w:val="00EC7215"/>
    <w:rsid w:val="00EC7373"/>
    <w:rsid w:val="00EC74A9"/>
    <w:rsid w:val="00ED032F"/>
    <w:rsid w:val="00ED0E68"/>
    <w:rsid w:val="00ED15D0"/>
    <w:rsid w:val="00ED1BE7"/>
    <w:rsid w:val="00ED2282"/>
    <w:rsid w:val="00ED2AB0"/>
    <w:rsid w:val="00ED2CE5"/>
    <w:rsid w:val="00ED305D"/>
    <w:rsid w:val="00ED30DF"/>
    <w:rsid w:val="00ED3C4E"/>
    <w:rsid w:val="00ED3F5B"/>
    <w:rsid w:val="00ED449C"/>
    <w:rsid w:val="00ED4695"/>
    <w:rsid w:val="00ED4E70"/>
    <w:rsid w:val="00ED5391"/>
    <w:rsid w:val="00ED73EA"/>
    <w:rsid w:val="00ED75FC"/>
    <w:rsid w:val="00ED7FB5"/>
    <w:rsid w:val="00EE02FC"/>
    <w:rsid w:val="00EE0438"/>
    <w:rsid w:val="00EE0A95"/>
    <w:rsid w:val="00EE1952"/>
    <w:rsid w:val="00EE37C6"/>
    <w:rsid w:val="00EE3886"/>
    <w:rsid w:val="00EE3A80"/>
    <w:rsid w:val="00EE3D06"/>
    <w:rsid w:val="00EE41A1"/>
    <w:rsid w:val="00EE41F9"/>
    <w:rsid w:val="00EE4C5F"/>
    <w:rsid w:val="00EE4EAB"/>
    <w:rsid w:val="00EE5347"/>
    <w:rsid w:val="00EE54FA"/>
    <w:rsid w:val="00EE5CCE"/>
    <w:rsid w:val="00EE5E2A"/>
    <w:rsid w:val="00EE7BB0"/>
    <w:rsid w:val="00EF01AA"/>
    <w:rsid w:val="00EF042A"/>
    <w:rsid w:val="00EF0647"/>
    <w:rsid w:val="00EF0D71"/>
    <w:rsid w:val="00EF1A05"/>
    <w:rsid w:val="00EF1D27"/>
    <w:rsid w:val="00EF1E49"/>
    <w:rsid w:val="00EF24E1"/>
    <w:rsid w:val="00EF2CB1"/>
    <w:rsid w:val="00EF3523"/>
    <w:rsid w:val="00EF35C7"/>
    <w:rsid w:val="00EF41A1"/>
    <w:rsid w:val="00EF4236"/>
    <w:rsid w:val="00EF463B"/>
    <w:rsid w:val="00EF46F8"/>
    <w:rsid w:val="00EF4C96"/>
    <w:rsid w:val="00EF5006"/>
    <w:rsid w:val="00EF50B0"/>
    <w:rsid w:val="00EF5498"/>
    <w:rsid w:val="00EF5F86"/>
    <w:rsid w:val="00EF62A4"/>
    <w:rsid w:val="00EF6416"/>
    <w:rsid w:val="00EF6BCF"/>
    <w:rsid w:val="00EF6D3B"/>
    <w:rsid w:val="00EF72A4"/>
    <w:rsid w:val="00F00366"/>
    <w:rsid w:val="00F004A8"/>
    <w:rsid w:val="00F00970"/>
    <w:rsid w:val="00F0120B"/>
    <w:rsid w:val="00F0175D"/>
    <w:rsid w:val="00F01CAA"/>
    <w:rsid w:val="00F01E64"/>
    <w:rsid w:val="00F020E6"/>
    <w:rsid w:val="00F02122"/>
    <w:rsid w:val="00F02209"/>
    <w:rsid w:val="00F0473F"/>
    <w:rsid w:val="00F04767"/>
    <w:rsid w:val="00F051D4"/>
    <w:rsid w:val="00F053D2"/>
    <w:rsid w:val="00F053D9"/>
    <w:rsid w:val="00F05B24"/>
    <w:rsid w:val="00F06245"/>
    <w:rsid w:val="00F063D0"/>
    <w:rsid w:val="00F065EC"/>
    <w:rsid w:val="00F06DB6"/>
    <w:rsid w:val="00F0701D"/>
    <w:rsid w:val="00F070DE"/>
    <w:rsid w:val="00F100CD"/>
    <w:rsid w:val="00F1077D"/>
    <w:rsid w:val="00F10DDB"/>
    <w:rsid w:val="00F10EAC"/>
    <w:rsid w:val="00F11585"/>
    <w:rsid w:val="00F11814"/>
    <w:rsid w:val="00F1193B"/>
    <w:rsid w:val="00F11C7E"/>
    <w:rsid w:val="00F11E0D"/>
    <w:rsid w:val="00F12598"/>
    <w:rsid w:val="00F12862"/>
    <w:rsid w:val="00F133CF"/>
    <w:rsid w:val="00F13480"/>
    <w:rsid w:val="00F14FA7"/>
    <w:rsid w:val="00F15E17"/>
    <w:rsid w:val="00F1604C"/>
    <w:rsid w:val="00F16124"/>
    <w:rsid w:val="00F17C1F"/>
    <w:rsid w:val="00F20141"/>
    <w:rsid w:val="00F21554"/>
    <w:rsid w:val="00F21794"/>
    <w:rsid w:val="00F22B2D"/>
    <w:rsid w:val="00F23E19"/>
    <w:rsid w:val="00F24B21"/>
    <w:rsid w:val="00F256AA"/>
    <w:rsid w:val="00F25AA6"/>
    <w:rsid w:val="00F2676F"/>
    <w:rsid w:val="00F26C57"/>
    <w:rsid w:val="00F26DF1"/>
    <w:rsid w:val="00F270A8"/>
    <w:rsid w:val="00F27B04"/>
    <w:rsid w:val="00F30515"/>
    <w:rsid w:val="00F31597"/>
    <w:rsid w:val="00F31FE8"/>
    <w:rsid w:val="00F320F5"/>
    <w:rsid w:val="00F33F87"/>
    <w:rsid w:val="00F3401D"/>
    <w:rsid w:val="00F347DC"/>
    <w:rsid w:val="00F350A3"/>
    <w:rsid w:val="00F350CB"/>
    <w:rsid w:val="00F37088"/>
    <w:rsid w:val="00F37747"/>
    <w:rsid w:val="00F40116"/>
    <w:rsid w:val="00F40138"/>
    <w:rsid w:val="00F40C6E"/>
    <w:rsid w:val="00F40E24"/>
    <w:rsid w:val="00F41423"/>
    <w:rsid w:val="00F41A97"/>
    <w:rsid w:val="00F41D63"/>
    <w:rsid w:val="00F424AB"/>
    <w:rsid w:val="00F425D7"/>
    <w:rsid w:val="00F4266D"/>
    <w:rsid w:val="00F42BD0"/>
    <w:rsid w:val="00F43B14"/>
    <w:rsid w:val="00F43C47"/>
    <w:rsid w:val="00F43EF7"/>
    <w:rsid w:val="00F441DC"/>
    <w:rsid w:val="00F44265"/>
    <w:rsid w:val="00F442B8"/>
    <w:rsid w:val="00F4439E"/>
    <w:rsid w:val="00F44714"/>
    <w:rsid w:val="00F44E5D"/>
    <w:rsid w:val="00F451E6"/>
    <w:rsid w:val="00F45D5D"/>
    <w:rsid w:val="00F46727"/>
    <w:rsid w:val="00F469B9"/>
    <w:rsid w:val="00F46FFB"/>
    <w:rsid w:val="00F472B7"/>
    <w:rsid w:val="00F47F11"/>
    <w:rsid w:val="00F50126"/>
    <w:rsid w:val="00F50216"/>
    <w:rsid w:val="00F50C52"/>
    <w:rsid w:val="00F513DD"/>
    <w:rsid w:val="00F5147F"/>
    <w:rsid w:val="00F51BF4"/>
    <w:rsid w:val="00F547B7"/>
    <w:rsid w:val="00F54935"/>
    <w:rsid w:val="00F54A7C"/>
    <w:rsid w:val="00F54BB5"/>
    <w:rsid w:val="00F55C96"/>
    <w:rsid w:val="00F56313"/>
    <w:rsid w:val="00F56759"/>
    <w:rsid w:val="00F56E37"/>
    <w:rsid w:val="00F56F2E"/>
    <w:rsid w:val="00F577EA"/>
    <w:rsid w:val="00F603CF"/>
    <w:rsid w:val="00F6160C"/>
    <w:rsid w:val="00F617F7"/>
    <w:rsid w:val="00F6216C"/>
    <w:rsid w:val="00F6292C"/>
    <w:rsid w:val="00F62F8C"/>
    <w:rsid w:val="00F634DD"/>
    <w:rsid w:val="00F638B4"/>
    <w:rsid w:val="00F638CE"/>
    <w:rsid w:val="00F641C2"/>
    <w:rsid w:val="00F65B77"/>
    <w:rsid w:val="00F65E63"/>
    <w:rsid w:val="00F66173"/>
    <w:rsid w:val="00F6637B"/>
    <w:rsid w:val="00F663FD"/>
    <w:rsid w:val="00F66A23"/>
    <w:rsid w:val="00F66A6A"/>
    <w:rsid w:val="00F66DC3"/>
    <w:rsid w:val="00F67B17"/>
    <w:rsid w:val="00F700EF"/>
    <w:rsid w:val="00F7043A"/>
    <w:rsid w:val="00F70B39"/>
    <w:rsid w:val="00F71E25"/>
    <w:rsid w:val="00F72621"/>
    <w:rsid w:val="00F72777"/>
    <w:rsid w:val="00F729A7"/>
    <w:rsid w:val="00F72CC3"/>
    <w:rsid w:val="00F72E32"/>
    <w:rsid w:val="00F72E33"/>
    <w:rsid w:val="00F735A9"/>
    <w:rsid w:val="00F73627"/>
    <w:rsid w:val="00F74764"/>
    <w:rsid w:val="00F74A23"/>
    <w:rsid w:val="00F75667"/>
    <w:rsid w:val="00F75CAF"/>
    <w:rsid w:val="00F75DA2"/>
    <w:rsid w:val="00F7661A"/>
    <w:rsid w:val="00F76EDC"/>
    <w:rsid w:val="00F77E19"/>
    <w:rsid w:val="00F8004C"/>
    <w:rsid w:val="00F8042A"/>
    <w:rsid w:val="00F80EB9"/>
    <w:rsid w:val="00F8169E"/>
    <w:rsid w:val="00F8248C"/>
    <w:rsid w:val="00F82665"/>
    <w:rsid w:val="00F827BD"/>
    <w:rsid w:val="00F82A46"/>
    <w:rsid w:val="00F82EBB"/>
    <w:rsid w:val="00F83BA2"/>
    <w:rsid w:val="00F84BCF"/>
    <w:rsid w:val="00F852EF"/>
    <w:rsid w:val="00F85713"/>
    <w:rsid w:val="00F85C60"/>
    <w:rsid w:val="00F85CAE"/>
    <w:rsid w:val="00F85D13"/>
    <w:rsid w:val="00F85DEE"/>
    <w:rsid w:val="00F86249"/>
    <w:rsid w:val="00F862D1"/>
    <w:rsid w:val="00F86F4E"/>
    <w:rsid w:val="00F87711"/>
    <w:rsid w:val="00F87E98"/>
    <w:rsid w:val="00F900DB"/>
    <w:rsid w:val="00F9032B"/>
    <w:rsid w:val="00F90635"/>
    <w:rsid w:val="00F908A9"/>
    <w:rsid w:val="00F90AB4"/>
    <w:rsid w:val="00F90D39"/>
    <w:rsid w:val="00F912CD"/>
    <w:rsid w:val="00F93855"/>
    <w:rsid w:val="00F93CC4"/>
    <w:rsid w:val="00F94D94"/>
    <w:rsid w:val="00F94E28"/>
    <w:rsid w:val="00F964C8"/>
    <w:rsid w:val="00F96AAD"/>
    <w:rsid w:val="00F96B54"/>
    <w:rsid w:val="00F97388"/>
    <w:rsid w:val="00F97654"/>
    <w:rsid w:val="00F97AC8"/>
    <w:rsid w:val="00F97F6F"/>
    <w:rsid w:val="00FA021D"/>
    <w:rsid w:val="00FA026B"/>
    <w:rsid w:val="00FA0302"/>
    <w:rsid w:val="00FA0D53"/>
    <w:rsid w:val="00FA1491"/>
    <w:rsid w:val="00FA1840"/>
    <w:rsid w:val="00FA27DD"/>
    <w:rsid w:val="00FA2CFE"/>
    <w:rsid w:val="00FA3BBF"/>
    <w:rsid w:val="00FA4760"/>
    <w:rsid w:val="00FA4A20"/>
    <w:rsid w:val="00FA586C"/>
    <w:rsid w:val="00FA5994"/>
    <w:rsid w:val="00FA5E21"/>
    <w:rsid w:val="00FA683D"/>
    <w:rsid w:val="00FA69ED"/>
    <w:rsid w:val="00FA6EA8"/>
    <w:rsid w:val="00FA704B"/>
    <w:rsid w:val="00FA7386"/>
    <w:rsid w:val="00FA764E"/>
    <w:rsid w:val="00FA7EA1"/>
    <w:rsid w:val="00FB0A57"/>
    <w:rsid w:val="00FB0DAE"/>
    <w:rsid w:val="00FB0E60"/>
    <w:rsid w:val="00FB159C"/>
    <w:rsid w:val="00FB19D0"/>
    <w:rsid w:val="00FB1A14"/>
    <w:rsid w:val="00FB1CE1"/>
    <w:rsid w:val="00FB23B8"/>
    <w:rsid w:val="00FB2D7F"/>
    <w:rsid w:val="00FB2DF2"/>
    <w:rsid w:val="00FB32BE"/>
    <w:rsid w:val="00FB3415"/>
    <w:rsid w:val="00FB3C44"/>
    <w:rsid w:val="00FB4603"/>
    <w:rsid w:val="00FB4E34"/>
    <w:rsid w:val="00FB6A64"/>
    <w:rsid w:val="00FB6DA4"/>
    <w:rsid w:val="00FB6F16"/>
    <w:rsid w:val="00FB6F20"/>
    <w:rsid w:val="00FB6FDA"/>
    <w:rsid w:val="00FB7A46"/>
    <w:rsid w:val="00FB7E14"/>
    <w:rsid w:val="00FB7EF4"/>
    <w:rsid w:val="00FC1259"/>
    <w:rsid w:val="00FC1BDF"/>
    <w:rsid w:val="00FC21A5"/>
    <w:rsid w:val="00FC23FF"/>
    <w:rsid w:val="00FC30AD"/>
    <w:rsid w:val="00FC43AA"/>
    <w:rsid w:val="00FC4656"/>
    <w:rsid w:val="00FC4738"/>
    <w:rsid w:val="00FC4951"/>
    <w:rsid w:val="00FC5410"/>
    <w:rsid w:val="00FC584F"/>
    <w:rsid w:val="00FC5B38"/>
    <w:rsid w:val="00FC5B6B"/>
    <w:rsid w:val="00FC5D49"/>
    <w:rsid w:val="00FC6334"/>
    <w:rsid w:val="00FC63B6"/>
    <w:rsid w:val="00FC65B1"/>
    <w:rsid w:val="00FC7492"/>
    <w:rsid w:val="00FC7864"/>
    <w:rsid w:val="00FD162E"/>
    <w:rsid w:val="00FD1F7A"/>
    <w:rsid w:val="00FD2486"/>
    <w:rsid w:val="00FD299C"/>
    <w:rsid w:val="00FD2C58"/>
    <w:rsid w:val="00FD368F"/>
    <w:rsid w:val="00FD37F7"/>
    <w:rsid w:val="00FD4B61"/>
    <w:rsid w:val="00FD4D0D"/>
    <w:rsid w:val="00FD4E0C"/>
    <w:rsid w:val="00FD5DD1"/>
    <w:rsid w:val="00FD5E81"/>
    <w:rsid w:val="00FD6143"/>
    <w:rsid w:val="00FD6774"/>
    <w:rsid w:val="00FD6953"/>
    <w:rsid w:val="00FD6E40"/>
    <w:rsid w:val="00FD74EF"/>
    <w:rsid w:val="00FD77FA"/>
    <w:rsid w:val="00FD7B85"/>
    <w:rsid w:val="00FD7EEE"/>
    <w:rsid w:val="00FE0574"/>
    <w:rsid w:val="00FE06FB"/>
    <w:rsid w:val="00FE0E87"/>
    <w:rsid w:val="00FE0EF7"/>
    <w:rsid w:val="00FE16D8"/>
    <w:rsid w:val="00FE1AF6"/>
    <w:rsid w:val="00FE1CB5"/>
    <w:rsid w:val="00FE28EC"/>
    <w:rsid w:val="00FE356E"/>
    <w:rsid w:val="00FE39EE"/>
    <w:rsid w:val="00FE3F2F"/>
    <w:rsid w:val="00FE47A9"/>
    <w:rsid w:val="00FE59B8"/>
    <w:rsid w:val="00FE695E"/>
    <w:rsid w:val="00FE6BA0"/>
    <w:rsid w:val="00FE761C"/>
    <w:rsid w:val="00FE7AD0"/>
    <w:rsid w:val="00FF0944"/>
    <w:rsid w:val="00FF0EB8"/>
    <w:rsid w:val="00FF1818"/>
    <w:rsid w:val="00FF1AF9"/>
    <w:rsid w:val="00FF1CEF"/>
    <w:rsid w:val="00FF2568"/>
    <w:rsid w:val="00FF2D99"/>
    <w:rsid w:val="00FF2E08"/>
    <w:rsid w:val="00FF2F27"/>
    <w:rsid w:val="00FF2F97"/>
    <w:rsid w:val="00FF3698"/>
    <w:rsid w:val="00FF36BD"/>
    <w:rsid w:val="00FF378B"/>
    <w:rsid w:val="00FF3CC7"/>
    <w:rsid w:val="00FF3E8B"/>
    <w:rsid w:val="00FF4307"/>
    <w:rsid w:val="00FF4603"/>
    <w:rsid w:val="00FF487E"/>
    <w:rsid w:val="00FF5389"/>
    <w:rsid w:val="00FF5BE7"/>
    <w:rsid w:val="00FF6196"/>
    <w:rsid w:val="00FF7119"/>
    <w:rsid w:val="00FF7C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uiPriority="0"/>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6E2"/>
    <w:rPr>
      <w:sz w:val="28"/>
      <w:szCs w:val="28"/>
      <w:lang w:val="en-US" w:eastAsia="en-US"/>
    </w:rPr>
  </w:style>
  <w:style w:type="paragraph" w:styleId="Heading1">
    <w:name w:val="heading 1"/>
    <w:basedOn w:val="Normal"/>
    <w:next w:val="Normal"/>
    <w:link w:val="Heading1Char"/>
    <w:qFormat/>
    <w:rsid w:val="00EF01AA"/>
    <w:pPr>
      <w:keepNext/>
      <w:spacing w:before="240" w:after="60"/>
      <w:outlineLvl w:val="0"/>
    </w:pPr>
    <w:rPr>
      <w:b/>
      <w:kern w:val="32"/>
      <w:sz w:val="32"/>
      <w:szCs w:val="20"/>
    </w:rPr>
  </w:style>
  <w:style w:type="paragraph" w:styleId="Heading2">
    <w:name w:val="heading 2"/>
    <w:basedOn w:val="Normal"/>
    <w:next w:val="Normal"/>
    <w:link w:val="Heading2Char"/>
    <w:uiPriority w:val="99"/>
    <w:qFormat/>
    <w:rsid w:val="00EF01AA"/>
    <w:pPr>
      <w:keepNext/>
      <w:spacing w:before="240" w:after="60"/>
      <w:outlineLvl w:val="1"/>
    </w:pPr>
    <w:rPr>
      <w:b/>
      <w:i/>
      <w:szCs w:val="20"/>
    </w:rPr>
  </w:style>
  <w:style w:type="paragraph" w:styleId="Heading3">
    <w:name w:val="heading 3"/>
    <w:aliases w:val="Heading 3 Char,Char Char Char Char,Char Char Char Char Char"/>
    <w:basedOn w:val="Normal"/>
    <w:link w:val="Heading3Char1"/>
    <w:uiPriority w:val="99"/>
    <w:qFormat/>
    <w:rsid w:val="00E61A28"/>
    <w:pPr>
      <w:spacing w:before="100" w:beforeAutospacing="1" w:after="100" w:afterAutospacing="1"/>
      <w:outlineLvl w:val="2"/>
    </w:pPr>
    <w:rPr>
      <w:rFonts w:ascii="Cambria" w:hAnsi="Cambria"/>
      <w:b/>
      <w:bCs/>
      <w:sz w:val="26"/>
      <w:szCs w:val="26"/>
    </w:rPr>
  </w:style>
  <w:style w:type="paragraph" w:styleId="Heading4">
    <w:name w:val="heading 4"/>
    <w:basedOn w:val="Normal"/>
    <w:next w:val="Normal"/>
    <w:link w:val="Heading4Char"/>
    <w:uiPriority w:val="99"/>
    <w:qFormat/>
    <w:rsid w:val="00EF01AA"/>
    <w:pPr>
      <w:keepNext/>
      <w:spacing w:before="240" w:after="60"/>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F01AA"/>
    <w:rPr>
      <w:rFonts w:ascii="Times New Roman" w:hAnsi="Times New Roman" w:cs="Times New Roman"/>
      <w:b/>
      <w:kern w:val="32"/>
      <w:sz w:val="32"/>
      <w:lang w:val="en-US" w:eastAsia="en-US"/>
    </w:rPr>
  </w:style>
  <w:style w:type="character" w:customStyle="1" w:styleId="Heading2Char">
    <w:name w:val="Heading 2 Char"/>
    <w:link w:val="Heading2"/>
    <w:uiPriority w:val="99"/>
    <w:locked/>
    <w:rsid w:val="00EF01AA"/>
    <w:rPr>
      <w:rFonts w:ascii="Times New Roman" w:hAnsi="Times New Roman" w:cs="Times New Roman"/>
      <w:b/>
      <w:i/>
      <w:sz w:val="28"/>
      <w:lang w:val="en-US" w:eastAsia="en-US"/>
    </w:rPr>
  </w:style>
  <w:style w:type="character" w:customStyle="1" w:styleId="Heading3Char1">
    <w:name w:val="Heading 3 Char1"/>
    <w:aliases w:val="Heading 3 Char Char,Char Char Char Char Char1,Char Char Char Char Char Char"/>
    <w:link w:val="Heading3"/>
    <w:uiPriority w:val="99"/>
    <w:semiHidden/>
    <w:locked/>
    <w:rsid w:val="00694C46"/>
    <w:rPr>
      <w:rFonts w:ascii="Cambria" w:hAnsi="Cambria" w:cs="Times New Roman"/>
      <w:b/>
      <w:bCs/>
      <w:sz w:val="26"/>
      <w:szCs w:val="26"/>
    </w:rPr>
  </w:style>
  <w:style w:type="character" w:customStyle="1" w:styleId="Heading4Char">
    <w:name w:val="Heading 4 Char"/>
    <w:link w:val="Heading4"/>
    <w:uiPriority w:val="99"/>
    <w:locked/>
    <w:rsid w:val="00EF01AA"/>
    <w:rPr>
      <w:rFonts w:ascii="Arial" w:hAnsi="Arial" w:cs="Times New Roman"/>
      <w:b/>
      <w:sz w:val="28"/>
      <w:lang w:val="en-US" w:eastAsia="en-US"/>
    </w:rPr>
  </w:style>
  <w:style w:type="paragraph" w:styleId="BalloonText">
    <w:name w:val="Balloon Text"/>
    <w:basedOn w:val="Normal"/>
    <w:link w:val="BalloonTextChar"/>
    <w:uiPriority w:val="99"/>
    <w:semiHidden/>
    <w:rsid w:val="0067047C"/>
    <w:rPr>
      <w:rFonts w:ascii="Tahoma" w:hAnsi="Tahoma"/>
      <w:sz w:val="16"/>
      <w:szCs w:val="20"/>
    </w:rPr>
  </w:style>
  <w:style w:type="character" w:customStyle="1" w:styleId="BalloonTextChar">
    <w:name w:val="Balloon Text Char"/>
    <w:link w:val="BalloonText"/>
    <w:uiPriority w:val="99"/>
    <w:semiHidden/>
    <w:locked/>
    <w:rsid w:val="00EF01AA"/>
    <w:rPr>
      <w:rFonts w:ascii="Tahoma" w:hAnsi="Tahoma" w:cs="Times New Roman"/>
      <w:sz w:val="16"/>
      <w:lang w:val="en-US" w:eastAsia="en-US"/>
    </w:rPr>
  </w:style>
  <w:style w:type="paragraph" w:styleId="Footer">
    <w:name w:val="footer"/>
    <w:basedOn w:val="Normal"/>
    <w:link w:val="FooterChar"/>
    <w:uiPriority w:val="99"/>
    <w:rsid w:val="00AD2C04"/>
    <w:pPr>
      <w:tabs>
        <w:tab w:val="center" w:pos="4320"/>
        <w:tab w:val="right" w:pos="8640"/>
      </w:tabs>
    </w:pPr>
    <w:rPr>
      <w:szCs w:val="20"/>
    </w:rPr>
  </w:style>
  <w:style w:type="character" w:customStyle="1" w:styleId="FooterChar">
    <w:name w:val="Footer Char"/>
    <w:link w:val="Footer"/>
    <w:uiPriority w:val="99"/>
    <w:locked/>
    <w:rsid w:val="00864E1A"/>
    <w:rPr>
      <w:rFonts w:cs="Times New Roman"/>
      <w:sz w:val="28"/>
      <w:lang w:val="en-US" w:eastAsia="en-US"/>
    </w:rPr>
  </w:style>
  <w:style w:type="character" w:styleId="PageNumber">
    <w:name w:val="page number"/>
    <w:uiPriority w:val="99"/>
    <w:rsid w:val="00AD2C04"/>
    <w:rPr>
      <w:rFonts w:cs="Times New Roman"/>
    </w:rPr>
  </w:style>
  <w:style w:type="character" w:styleId="Strong">
    <w:name w:val="Strong"/>
    <w:uiPriority w:val="99"/>
    <w:qFormat/>
    <w:rsid w:val="00C25055"/>
    <w:rPr>
      <w:rFonts w:cs="Times New Roman"/>
      <w:b/>
    </w:rPr>
  </w:style>
  <w:style w:type="paragraph" w:styleId="Header">
    <w:name w:val="header"/>
    <w:basedOn w:val="Normal"/>
    <w:link w:val="HeaderChar"/>
    <w:uiPriority w:val="99"/>
    <w:rsid w:val="00AE138C"/>
    <w:pPr>
      <w:tabs>
        <w:tab w:val="center" w:pos="4320"/>
        <w:tab w:val="right" w:pos="8640"/>
      </w:tabs>
    </w:pPr>
    <w:rPr>
      <w:szCs w:val="20"/>
    </w:rPr>
  </w:style>
  <w:style w:type="character" w:customStyle="1" w:styleId="HeaderChar">
    <w:name w:val="Header Char"/>
    <w:link w:val="Header"/>
    <w:uiPriority w:val="99"/>
    <w:locked/>
    <w:rsid w:val="00C041A5"/>
    <w:rPr>
      <w:rFonts w:cs="Times New Roman"/>
      <w:sz w:val="28"/>
      <w:lang w:val="en-US" w:eastAsia="en-US"/>
    </w:rPr>
  </w:style>
  <w:style w:type="paragraph" w:styleId="NormalWeb">
    <w:name w:val="Normal (Web)"/>
    <w:basedOn w:val="Normal"/>
    <w:uiPriority w:val="99"/>
    <w:rsid w:val="00854D41"/>
    <w:pPr>
      <w:spacing w:before="100" w:beforeAutospacing="1" w:after="100" w:afterAutospacing="1"/>
    </w:pPr>
    <w:rPr>
      <w:sz w:val="24"/>
      <w:szCs w:val="24"/>
    </w:rPr>
  </w:style>
  <w:style w:type="character" w:styleId="Emphasis">
    <w:name w:val="Emphasis"/>
    <w:uiPriority w:val="99"/>
    <w:qFormat/>
    <w:rsid w:val="00E61A28"/>
    <w:rPr>
      <w:rFonts w:cs="Times New Roman"/>
      <w:i/>
    </w:rPr>
  </w:style>
  <w:style w:type="paragraph" w:customStyle="1" w:styleId="Thanbai">
    <w:name w:val="Than bai"/>
    <w:basedOn w:val="Normal"/>
    <w:uiPriority w:val="99"/>
    <w:rsid w:val="00AA12CC"/>
    <w:pPr>
      <w:spacing w:after="240" w:line="312" w:lineRule="auto"/>
      <w:ind w:firstLine="720"/>
      <w:jc w:val="both"/>
    </w:pPr>
    <w:rPr>
      <w:szCs w:val="20"/>
    </w:rPr>
  </w:style>
  <w:style w:type="table" w:styleId="TableGrid">
    <w:name w:val="Table Grid"/>
    <w:basedOn w:val="TableNormal"/>
    <w:uiPriority w:val="99"/>
    <w:rsid w:val="00D645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AA249D"/>
    <w:rPr>
      <w:sz w:val="20"/>
      <w:szCs w:val="20"/>
    </w:rPr>
  </w:style>
  <w:style w:type="character" w:customStyle="1" w:styleId="FootnoteTextChar">
    <w:name w:val="Footnote Text Char"/>
    <w:link w:val="FootnoteText"/>
    <w:uiPriority w:val="99"/>
    <w:locked/>
    <w:rsid w:val="00AA249D"/>
    <w:rPr>
      <w:rFonts w:cs="Times New Roman"/>
      <w:lang w:val="en-US" w:eastAsia="en-US"/>
    </w:rPr>
  </w:style>
  <w:style w:type="character" w:styleId="FootnoteReference">
    <w:name w:val="footnote reference"/>
    <w:uiPriority w:val="99"/>
    <w:rsid w:val="00AA249D"/>
    <w:rPr>
      <w:rFonts w:cs="Times New Roman"/>
      <w:vertAlign w:val="superscript"/>
    </w:rPr>
  </w:style>
  <w:style w:type="paragraph" w:styleId="BodyText">
    <w:name w:val="Body Text"/>
    <w:basedOn w:val="Normal"/>
    <w:link w:val="BodyTextChar"/>
    <w:uiPriority w:val="99"/>
    <w:rsid w:val="000413B2"/>
    <w:pPr>
      <w:spacing w:after="120"/>
    </w:pPr>
  </w:style>
  <w:style w:type="character" w:customStyle="1" w:styleId="BodyTextChar">
    <w:name w:val="Body Text Char"/>
    <w:link w:val="BodyText"/>
    <w:uiPriority w:val="99"/>
    <w:semiHidden/>
    <w:locked/>
    <w:rsid w:val="00694C46"/>
    <w:rPr>
      <w:rFonts w:cs="Times New Roman"/>
      <w:sz w:val="28"/>
      <w:szCs w:val="28"/>
    </w:rPr>
  </w:style>
  <w:style w:type="paragraph" w:styleId="BodyTextFirstIndent">
    <w:name w:val="Body Text First Indent"/>
    <w:basedOn w:val="BodyText"/>
    <w:link w:val="BodyTextFirstIndentChar"/>
    <w:uiPriority w:val="99"/>
    <w:rsid w:val="000413B2"/>
    <w:pPr>
      <w:spacing w:line="276" w:lineRule="auto"/>
      <w:ind w:firstLine="210"/>
    </w:pPr>
    <w:rPr>
      <w:rFonts w:ascii="Arial" w:hAnsi="Arial"/>
      <w:sz w:val="22"/>
      <w:szCs w:val="22"/>
    </w:rPr>
  </w:style>
  <w:style w:type="character" w:customStyle="1" w:styleId="BodyTextFirstIndentChar">
    <w:name w:val="Body Text First Indent Char"/>
    <w:basedOn w:val="BodyTextChar"/>
    <w:link w:val="BodyTextFirstIndent"/>
    <w:uiPriority w:val="99"/>
    <w:semiHidden/>
    <w:locked/>
    <w:rsid w:val="00694C46"/>
    <w:rPr>
      <w:rFonts w:cs="Times New Roman"/>
      <w:sz w:val="28"/>
      <w:szCs w:val="28"/>
    </w:rPr>
  </w:style>
  <w:style w:type="paragraph" w:styleId="DocumentMap">
    <w:name w:val="Document Map"/>
    <w:basedOn w:val="Normal"/>
    <w:link w:val="DocumentMapChar"/>
    <w:uiPriority w:val="99"/>
    <w:rsid w:val="001E01A4"/>
    <w:rPr>
      <w:rFonts w:ascii="Tahoma" w:hAnsi="Tahoma"/>
      <w:sz w:val="16"/>
      <w:szCs w:val="20"/>
    </w:rPr>
  </w:style>
  <w:style w:type="character" w:customStyle="1" w:styleId="DocumentMapChar">
    <w:name w:val="Document Map Char"/>
    <w:link w:val="DocumentMap"/>
    <w:uiPriority w:val="99"/>
    <w:locked/>
    <w:rsid w:val="001E01A4"/>
    <w:rPr>
      <w:rFonts w:ascii="Tahoma" w:hAnsi="Tahoma" w:cs="Times New Roman"/>
      <w:sz w:val="16"/>
      <w:lang w:val="en-US" w:eastAsia="en-US"/>
    </w:rPr>
  </w:style>
  <w:style w:type="paragraph" w:customStyle="1" w:styleId="oncaDanhsch">
    <w:name w:val="Đoạn của Danh sách"/>
    <w:basedOn w:val="Normal"/>
    <w:uiPriority w:val="99"/>
    <w:qFormat/>
    <w:rsid w:val="00EF01AA"/>
    <w:pPr>
      <w:spacing w:after="240" w:line="360" w:lineRule="exact"/>
      <w:ind w:left="720"/>
      <w:contextualSpacing/>
      <w:jc w:val="both"/>
    </w:pPr>
    <w:rPr>
      <w:szCs w:val="24"/>
    </w:rPr>
  </w:style>
  <w:style w:type="paragraph" w:customStyle="1" w:styleId="mcMclc">
    <w:name w:val="Đề mục Mục lục"/>
    <w:basedOn w:val="Heading1"/>
    <w:next w:val="Normal"/>
    <w:uiPriority w:val="99"/>
    <w:qFormat/>
    <w:rsid w:val="00EF01AA"/>
    <w:pPr>
      <w:keepLines/>
      <w:pageBreakBefore/>
      <w:pBdr>
        <w:left w:val="single" w:sz="4" w:space="4" w:color="auto"/>
        <w:bottom w:val="double" w:sz="6" w:space="1" w:color="auto"/>
      </w:pBdr>
      <w:spacing w:before="0" w:after="0" w:line="276" w:lineRule="auto"/>
      <w:jc w:val="both"/>
      <w:outlineLvl w:val="9"/>
    </w:pPr>
    <w:rPr>
      <w:color w:val="365F91"/>
      <w:kern w:val="0"/>
      <w:sz w:val="28"/>
      <w:szCs w:val="28"/>
    </w:rPr>
  </w:style>
  <w:style w:type="paragraph" w:styleId="TOC1">
    <w:name w:val="toc 1"/>
    <w:basedOn w:val="Normal"/>
    <w:next w:val="Normal"/>
    <w:autoRedefine/>
    <w:uiPriority w:val="99"/>
    <w:rsid w:val="00EF01AA"/>
    <w:pPr>
      <w:spacing w:after="100" w:line="360" w:lineRule="exact"/>
      <w:jc w:val="both"/>
    </w:pPr>
    <w:rPr>
      <w:szCs w:val="24"/>
    </w:rPr>
  </w:style>
  <w:style w:type="paragraph" w:styleId="TOC2">
    <w:name w:val="toc 2"/>
    <w:basedOn w:val="Normal"/>
    <w:next w:val="Normal"/>
    <w:autoRedefine/>
    <w:uiPriority w:val="99"/>
    <w:rsid w:val="00EF01AA"/>
    <w:pPr>
      <w:spacing w:after="100" w:line="360" w:lineRule="exact"/>
      <w:ind w:left="240"/>
      <w:jc w:val="both"/>
    </w:pPr>
    <w:rPr>
      <w:szCs w:val="24"/>
    </w:rPr>
  </w:style>
  <w:style w:type="paragraph" w:styleId="TOC3">
    <w:name w:val="toc 3"/>
    <w:basedOn w:val="Normal"/>
    <w:next w:val="Normal"/>
    <w:autoRedefine/>
    <w:uiPriority w:val="99"/>
    <w:rsid w:val="00EF01AA"/>
    <w:pPr>
      <w:spacing w:after="100" w:line="360" w:lineRule="exact"/>
      <w:ind w:left="480"/>
      <w:jc w:val="both"/>
    </w:pPr>
    <w:rPr>
      <w:szCs w:val="24"/>
    </w:rPr>
  </w:style>
  <w:style w:type="character" w:styleId="Hyperlink">
    <w:name w:val="Hyperlink"/>
    <w:uiPriority w:val="99"/>
    <w:rsid w:val="00EF01AA"/>
    <w:rPr>
      <w:rFonts w:cs="Times New Roman"/>
      <w:color w:val="0000FF"/>
      <w:u w:val="single"/>
    </w:rPr>
  </w:style>
  <w:style w:type="paragraph" w:customStyle="1" w:styleId="Normal1">
    <w:name w:val="Normal1"/>
    <w:uiPriority w:val="99"/>
    <w:rsid w:val="00EF01AA"/>
    <w:pPr>
      <w:spacing w:line="276" w:lineRule="auto"/>
    </w:pPr>
    <w:rPr>
      <w:rFonts w:ascii="Arial" w:hAnsi="Arial" w:cs="Arial"/>
      <w:color w:val="000000"/>
      <w:sz w:val="22"/>
    </w:rPr>
  </w:style>
  <w:style w:type="paragraph" w:customStyle="1" w:styleId="KhngGincch">
    <w:name w:val="Không Giãn cách"/>
    <w:uiPriority w:val="99"/>
    <w:qFormat/>
    <w:rsid w:val="00EF01AA"/>
    <w:rPr>
      <w:sz w:val="28"/>
      <w:szCs w:val="24"/>
      <w:lang w:val="en-US" w:eastAsia="en-US"/>
    </w:rPr>
  </w:style>
  <w:style w:type="paragraph" w:styleId="ListParagraph">
    <w:name w:val="List Paragraph"/>
    <w:basedOn w:val="Normal"/>
    <w:link w:val="ListParagraphChar"/>
    <w:uiPriority w:val="34"/>
    <w:qFormat/>
    <w:rsid w:val="00E974AA"/>
    <w:pPr>
      <w:ind w:left="720"/>
      <w:contextualSpacing/>
    </w:pPr>
  </w:style>
  <w:style w:type="character" w:styleId="CommentReference">
    <w:name w:val="annotation reference"/>
    <w:basedOn w:val="DefaultParagraphFont"/>
    <w:uiPriority w:val="99"/>
    <w:semiHidden/>
    <w:unhideWhenUsed/>
    <w:locked/>
    <w:rsid w:val="0079294D"/>
    <w:rPr>
      <w:sz w:val="16"/>
      <w:szCs w:val="16"/>
    </w:rPr>
  </w:style>
  <w:style w:type="paragraph" w:styleId="CommentText">
    <w:name w:val="annotation text"/>
    <w:basedOn w:val="Normal"/>
    <w:link w:val="CommentTextChar"/>
    <w:uiPriority w:val="99"/>
    <w:semiHidden/>
    <w:unhideWhenUsed/>
    <w:locked/>
    <w:rsid w:val="0079294D"/>
    <w:rPr>
      <w:sz w:val="20"/>
      <w:szCs w:val="20"/>
    </w:rPr>
  </w:style>
  <w:style w:type="character" w:customStyle="1" w:styleId="CommentTextChar">
    <w:name w:val="Comment Text Char"/>
    <w:basedOn w:val="DefaultParagraphFont"/>
    <w:link w:val="CommentText"/>
    <w:uiPriority w:val="99"/>
    <w:semiHidden/>
    <w:rsid w:val="0079294D"/>
    <w:rPr>
      <w:lang w:val="en-US" w:eastAsia="en-US"/>
    </w:rPr>
  </w:style>
  <w:style w:type="paragraph" w:styleId="CommentSubject">
    <w:name w:val="annotation subject"/>
    <w:basedOn w:val="CommentText"/>
    <w:next w:val="CommentText"/>
    <w:link w:val="CommentSubjectChar"/>
    <w:uiPriority w:val="99"/>
    <w:semiHidden/>
    <w:unhideWhenUsed/>
    <w:locked/>
    <w:rsid w:val="0079294D"/>
    <w:rPr>
      <w:b/>
      <w:bCs/>
    </w:rPr>
  </w:style>
  <w:style w:type="character" w:customStyle="1" w:styleId="CommentSubjectChar">
    <w:name w:val="Comment Subject Char"/>
    <w:basedOn w:val="CommentTextChar"/>
    <w:link w:val="CommentSubject"/>
    <w:uiPriority w:val="99"/>
    <w:semiHidden/>
    <w:rsid w:val="0079294D"/>
    <w:rPr>
      <w:b/>
      <w:bCs/>
      <w:lang w:val="en-US" w:eastAsia="en-US"/>
    </w:rPr>
  </w:style>
  <w:style w:type="paragraph" w:styleId="BodyTextIndent">
    <w:name w:val="Body Text Indent"/>
    <w:basedOn w:val="Normal"/>
    <w:link w:val="BodyTextIndentChar"/>
    <w:locked/>
    <w:rsid w:val="005713E4"/>
    <w:pPr>
      <w:ind w:firstLine="720"/>
      <w:jc w:val="both"/>
    </w:pPr>
    <w:rPr>
      <w:rFonts w:ascii=".VnTime" w:hAnsi=".VnTime"/>
      <w:szCs w:val="20"/>
    </w:rPr>
  </w:style>
  <w:style w:type="character" w:customStyle="1" w:styleId="BodyTextIndentChar">
    <w:name w:val="Body Text Indent Char"/>
    <w:basedOn w:val="DefaultParagraphFont"/>
    <w:link w:val="BodyTextIndent"/>
    <w:rsid w:val="005713E4"/>
    <w:rPr>
      <w:rFonts w:ascii=".VnTime" w:hAnsi=".VnTime"/>
      <w:sz w:val="28"/>
      <w:lang w:val="en-US" w:eastAsia="en-US"/>
    </w:rPr>
  </w:style>
  <w:style w:type="character" w:customStyle="1" w:styleId="ListParagraphChar">
    <w:name w:val="List Paragraph Char"/>
    <w:link w:val="ListParagraph"/>
    <w:uiPriority w:val="34"/>
    <w:locked/>
    <w:rsid w:val="00AE74E5"/>
    <w:rPr>
      <w:sz w:val="28"/>
      <w:szCs w:val="28"/>
      <w:lang w:val="en-US" w:eastAsia="en-US"/>
    </w:rPr>
  </w:style>
  <w:style w:type="paragraph" w:styleId="Revision">
    <w:name w:val="Revision"/>
    <w:hidden/>
    <w:uiPriority w:val="99"/>
    <w:semiHidden/>
    <w:rsid w:val="00182EB6"/>
    <w:rPr>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116148611">
      <w:bodyDiv w:val="1"/>
      <w:marLeft w:val="0"/>
      <w:marRight w:val="0"/>
      <w:marTop w:val="0"/>
      <w:marBottom w:val="0"/>
      <w:divBdr>
        <w:top w:val="none" w:sz="0" w:space="0" w:color="auto"/>
        <w:left w:val="none" w:sz="0" w:space="0" w:color="auto"/>
        <w:bottom w:val="none" w:sz="0" w:space="0" w:color="auto"/>
        <w:right w:val="none" w:sz="0" w:space="0" w:color="auto"/>
      </w:divBdr>
    </w:div>
    <w:div w:id="277685825">
      <w:marLeft w:val="0"/>
      <w:marRight w:val="0"/>
      <w:marTop w:val="0"/>
      <w:marBottom w:val="0"/>
      <w:divBdr>
        <w:top w:val="none" w:sz="0" w:space="0" w:color="auto"/>
        <w:left w:val="none" w:sz="0" w:space="0" w:color="auto"/>
        <w:bottom w:val="none" w:sz="0" w:space="0" w:color="auto"/>
        <w:right w:val="none" w:sz="0" w:space="0" w:color="auto"/>
      </w:divBdr>
    </w:div>
    <w:div w:id="277685826">
      <w:marLeft w:val="0"/>
      <w:marRight w:val="0"/>
      <w:marTop w:val="0"/>
      <w:marBottom w:val="0"/>
      <w:divBdr>
        <w:top w:val="none" w:sz="0" w:space="0" w:color="auto"/>
        <w:left w:val="none" w:sz="0" w:space="0" w:color="auto"/>
        <w:bottom w:val="none" w:sz="0" w:space="0" w:color="auto"/>
        <w:right w:val="none" w:sz="0" w:space="0" w:color="auto"/>
      </w:divBdr>
    </w:div>
    <w:div w:id="277685827">
      <w:marLeft w:val="0"/>
      <w:marRight w:val="0"/>
      <w:marTop w:val="0"/>
      <w:marBottom w:val="0"/>
      <w:divBdr>
        <w:top w:val="none" w:sz="0" w:space="0" w:color="auto"/>
        <w:left w:val="none" w:sz="0" w:space="0" w:color="auto"/>
        <w:bottom w:val="none" w:sz="0" w:space="0" w:color="auto"/>
        <w:right w:val="none" w:sz="0" w:space="0" w:color="auto"/>
      </w:divBdr>
    </w:div>
    <w:div w:id="277685828">
      <w:marLeft w:val="0"/>
      <w:marRight w:val="0"/>
      <w:marTop w:val="0"/>
      <w:marBottom w:val="0"/>
      <w:divBdr>
        <w:top w:val="none" w:sz="0" w:space="0" w:color="auto"/>
        <w:left w:val="none" w:sz="0" w:space="0" w:color="auto"/>
        <w:bottom w:val="none" w:sz="0" w:space="0" w:color="auto"/>
        <w:right w:val="none" w:sz="0" w:space="0" w:color="auto"/>
      </w:divBdr>
    </w:div>
    <w:div w:id="277685829">
      <w:marLeft w:val="0"/>
      <w:marRight w:val="0"/>
      <w:marTop w:val="0"/>
      <w:marBottom w:val="0"/>
      <w:divBdr>
        <w:top w:val="none" w:sz="0" w:space="0" w:color="auto"/>
        <w:left w:val="none" w:sz="0" w:space="0" w:color="auto"/>
        <w:bottom w:val="none" w:sz="0" w:space="0" w:color="auto"/>
        <w:right w:val="none" w:sz="0" w:space="0" w:color="auto"/>
      </w:divBdr>
    </w:div>
    <w:div w:id="367878288">
      <w:bodyDiv w:val="1"/>
      <w:marLeft w:val="0"/>
      <w:marRight w:val="0"/>
      <w:marTop w:val="0"/>
      <w:marBottom w:val="0"/>
      <w:divBdr>
        <w:top w:val="none" w:sz="0" w:space="0" w:color="auto"/>
        <w:left w:val="none" w:sz="0" w:space="0" w:color="auto"/>
        <w:bottom w:val="none" w:sz="0" w:space="0" w:color="auto"/>
        <w:right w:val="none" w:sz="0" w:space="0" w:color="auto"/>
      </w:divBdr>
    </w:div>
    <w:div w:id="1092123258">
      <w:bodyDiv w:val="1"/>
      <w:marLeft w:val="0"/>
      <w:marRight w:val="0"/>
      <w:marTop w:val="0"/>
      <w:marBottom w:val="0"/>
      <w:divBdr>
        <w:top w:val="none" w:sz="0" w:space="0" w:color="auto"/>
        <w:left w:val="none" w:sz="0" w:space="0" w:color="auto"/>
        <w:bottom w:val="none" w:sz="0" w:space="0" w:color="auto"/>
        <w:right w:val="none" w:sz="0" w:space="0" w:color="auto"/>
      </w:divBdr>
    </w:div>
    <w:div w:id="1312639564">
      <w:bodyDiv w:val="1"/>
      <w:marLeft w:val="0"/>
      <w:marRight w:val="0"/>
      <w:marTop w:val="0"/>
      <w:marBottom w:val="0"/>
      <w:divBdr>
        <w:top w:val="none" w:sz="0" w:space="0" w:color="auto"/>
        <w:left w:val="none" w:sz="0" w:space="0" w:color="auto"/>
        <w:bottom w:val="none" w:sz="0" w:space="0" w:color="auto"/>
        <w:right w:val="none" w:sz="0" w:space="0" w:color="auto"/>
      </w:divBdr>
    </w:div>
    <w:div w:id="1565723202">
      <w:bodyDiv w:val="1"/>
      <w:marLeft w:val="0"/>
      <w:marRight w:val="0"/>
      <w:marTop w:val="0"/>
      <w:marBottom w:val="0"/>
      <w:divBdr>
        <w:top w:val="none" w:sz="0" w:space="0" w:color="auto"/>
        <w:left w:val="none" w:sz="0" w:space="0" w:color="auto"/>
        <w:bottom w:val="none" w:sz="0" w:space="0" w:color="auto"/>
        <w:right w:val="none" w:sz="0" w:space="0" w:color="auto"/>
      </w:divBdr>
    </w:div>
    <w:div w:id="1824201553">
      <w:bodyDiv w:val="1"/>
      <w:marLeft w:val="0"/>
      <w:marRight w:val="0"/>
      <w:marTop w:val="0"/>
      <w:marBottom w:val="0"/>
      <w:divBdr>
        <w:top w:val="none" w:sz="0" w:space="0" w:color="auto"/>
        <w:left w:val="none" w:sz="0" w:space="0" w:color="auto"/>
        <w:bottom w:val="none" w:sz="0" w:space="0" w:color="auto"/>
        <w:right w:val="none" w:sz="0" w:space="0" w:color="auto"/>
      </w:divBdr>
    </w:div>
    <w:div w:id="203530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A0AEA-1A98-44E0-B966-9F2D71874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7585</Words>
  <Characters>26674</Characters>
  <Application>Microsoft Office Word</Application>
  <DocSecurity>4</DocSecurity>
  <Lines>222</Lines>
  <Paragraphs>68</Paragraphs>
  <ScaleCrop>false</ScaleCrop>
  <HeadingPairs>
    <vt:vector size="2" baseType="variant">
      <vt:variant>
        <vt:lpstr>Title</vt:lpstr>
      </vt:variant>
      <vt:variant>
        <vt:i4>1</vt:i4>
      </vt:variant>
    </vt:vector>
  </HeadingPairs>
  <TitlesOfParts>
    <vt:vector size="1" baseType="lpstr">
      <vt:lpstr>Trinh CP Nghi dinh Quy DTPTDP</vt:lpstr>
    </vt:vector>
  </TitlesOfParts>
  <Company>VPBTC</Company>
  <LinksUpToDate>false</LinksUpToDate>
  <CharactersWithSpaces>34191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Trinh CP Nghi dinh Quy DTPTDP</dc:title>
  <dc:creator>Le Ngoc Chi</dc:creator>
  <cp:lastModifiedBy>nguyenphuongthao</cp:lastModifiedBy>
  <cp:revision>2</cp:revision>
  <cp:lastPrinted>2019-11-26T09:30:00Z</cp:lastPrinted>
  <dcterms:created xsi:type="dcterms:W3CDTF">2020-02-04T06:41:00Z</dcterms:created>
  <dcterms:modified xsi:type="dcterms:W3CDTF">2020-02-04T06:41:00Z</dcterms:modified>
</cp:coreProperties>
</file>