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F3" w:rsidRPr="002A4895" w:rsidRDefault="00075E86" w:rsidP="006C2EF3">
      <w:pPr>
        <w:rPr>
          <w:b/>
          <w:lang w:val="da-DK"/>
        </w:rPr>
      </w:pPr>
      <w:r w:rsidRPr="002A4895">
        <w:rPr>
          <w:b/>
          <w:lang w:val="da-DK"/>
        </w:rPr>
        <w:t xml:space="preserve"> </w:t>
      </w:r>
      <w:r w:rsidR="000E581C" w:rsidRPr="002A4895">
        <w:rPr>
          <w:b/>
          <w:lang w:val="da-DK"/>
        </w:rPr>
        <w:t xml:space="preserve">CỤC </w:t>
      </w:r>
      <w:r w:rsidR="006C2EF3" w:rsidRPr="002A4895">
        <w:rPr>
          <w:b/>
          <w:lang w:val="da-DK"/>
        </w:rPr>
        <w:t>TÀI CHÍNH DOANH NGHIỆP</w:t>
      </w:r>
    </w:p>
    <w:p w:rsidR="006C2EF3" w:rsidRPr="002A4895" w:rsidRDefault="006C2EF3" w:rsidP="006C2EF3">
      <w:pPr>
        <w:rPr>
          <w:b/>
          <w:lang w:val="da-DK"/>
        </w:rPr>
      </w:pPr>
    </w:p>
    <w:p w:rsidR="006C2EF3" w:rsidRPr="002A4895" w:rsidRDefault="006C2EF3" w:rsidP="006C2EF3">
      <w:pPr>
        <w:jc w:val="center"/>
        <w:rPr>
          <w:b/>
          <w:lang w:val="da-DK"/>
        </w:rPr>
      </w:pPr>
    </w:p>
    <w:p w:rsidR="006C2EF3" w:rsidRPr="002A4895" w:rsidRDefault="006C2EF3" w:rsidP="006C2EF3">
      <w:pPr>
        <w:jc w:val="center"/>
        <w:rPr>
          <w:b/>
          <w:lang w:val="da-DK"/>
        </w:rPr>
      </w:pPr>
      <w:r w:rsidRPr="002A4895">
        <w:rPr>
          <w:b/>
          <w:lang w:val="da-DK"/>
        </w:rPr>
        <w:t>BÁO CÁO</w:t>
      </w:r>
    </w:p>
    <w:p w:rsidR="00BD7DA0" w:rsidRDefault="006C2EF3" w:rsidP="006C2EF3">
      <w:pPr>
        <w:jc w:val="center"/>
        <w:rPr>
          <w:b/>
        </w:rPr>
      </w:pPr>
      <w:r w:rsidRPr="002A4895">
        <w:rPr>
          <w:b/>
          <w:lang w:val="da-DK"/>
        </w:rPr>
        <w:t xml:space="preserve">Kết quả cổ phần hóa, thoái vốn </w:t>
      </w:r>
      <w:r w:rsidR="00776CD0">
        <w:rPr>
          <w:b/>
          <w:lang w:val="da-DK"/>
        </w:rPr>
        <w:t>giai đoạn từ năm 202</w:t>
      </w:r>
      <w:r w:rsidR="000211CA">
        <w:rPr>
          <w:b/>
          <w:lang w:val="da-DK"/>
        </w:rPr>
        <w:t>2</w:t>
      </w:r>
      <w:r w:rsidR="00776CD0">
        <w:rPr>
          <w:b/>
          <w:lang w:val="da-DK"/>
        </w:rPr>
        <w:t xml:space="preserve"> đến tháng </w:t>
      </w:r>
      <w:r w:rsidR="00BB71E1">
        <w:rPr>
          <w:b/>
          <w:lang w:val="da-DK"/>
        </w:rPr>
        <w:t>9</w:t>
      </w:r>
      <w:r w:rsidR="00AA351E">
        <w:rPr>
          <w:b/>
          <w:lang w:val="da-DK"/>
        </w:rPr>
        <w:t xml:space="preserve"> </w:t>
      </w:r>
      <w:r w:rsidR="00A27C99" w:rsidRPr="002A4895">
        <w:rPr>
          <w:b/>
          <w:lang w:val="da-DK"/>
        </w:rPr>
        <w:t>năm 2023</w:t>
      </w:r>
      <w:r w:rsidR="000A3543" w:rsidRPr="002A4895">
        <w:rPr>
          <w:b/>
          <w:lang w:val="da-DK"/>
        </w:rPr>
        <w:t xml:space="preserve"> </w:t>
      </w:r>
      <w:r w:rsidRPr="002A4895">
        <w:rPr>
          <w:b/>
          <w:lang w:val="da-DK"/>
        </w:rPr>
        <w:t xml:space="preserve">và giải pháp </w:t>
      </w:r>
      <w:r w:rsidRPr="002A4895">
        <w:rPr>
          <w:b/>
        </w:rPr>
        <w:t xml:space="preserve">đổi mới, đẩy nhanh tiến độ cổ phần hóa, thoái vốn </w:t>
      </w:r>
    </w:p>
    <w:p w:rsidR="006C2EF3" w:rsidRPr="002A4895" w:rsidRDefault="006C2EF3" w:rsidP="006C2EF3">
      <w:pPr>
        <w:jc w:val="center"/>
        <w:rPr>
          <w:b/>
        </w:rPr>
      </w:pPr>
      <w:r w:rsidRPr="002A4895">
        <w:rPr>
          <w:b/>
        </w:rPr>
        <w:t>trong thời gian tới</w:t>
      </w:r>
    </w:p>
    <w:p w:rsidR="006C2EF3" w:rsidRPr="002A4895" w:rsidRDefault="006D530C" w:rsidP="006C2EF3">
      <w:pPr>
        <w:jc w:val="center"/>
        <w:rPr>
          <w:b/>
        </w:rPr>
      </w:pPr>
      <w:r>
        <w:rPr>
          <w:b/>
          <w:noProof/>
        </w:rPr>
        <w:pict>
          <v:shapetype id="_x0000_t32" coordsize="21600,21600" o:spt="32" o:oned="t" path="m,l21600,21600e" filled="f">
            <v:path arrowok="t" fillok="f" o:connecttype="none"/>
            <o:lock v:ext="edit" shapetype="t"/>
          </v:shapetype>
          <v:shape id="Straight Arrow Connector 1" o:spid="_x0000_s1029" type="#_x0000_t32" style="position:absolute;left:0;text-align:left;margin-left:176.6pt;margin-top:3.55pt;width:99.9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o2YuAEAAFYDAAAOAAAAZHJzL2Uyb0RvYy54bWysU8Fu2zAMvQ/YPwi6L44zJFiNOD2k6y7d&#10;FqDdBzCSbAuTRYFU4uTvJ6lJVmy3YT4IlEg+Pj7S6/vT6MTREFv0raxncymMV6it71v54+Xxwy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"/>
        </w:pict>
      </w:r>
    </w:p>
    <w:p w:rsidR="006C2EF3" w:rsidRPr="002A4895" w:rsidRDefault="006C2EF3" w:rsidP="006C2EF3">
      <w:pPr>
        <w:jc w:val="center"/>
        <w:rPr>
          <w:b/>
        </w:rPr>
      </w:pPr>
    </w:p>
    <w:p w:rsidR="006C2EF3" w:rsidRPr="002A4895" w:rsidRDefault="006C2EF3" w:rsidP="00FC7389">
      <w:pPr>
        <w:tabs>
          <w:tab w:val="left" w:pos="709"/>
        </w:tabs>
        <w:spacing w:before="120" w:after="120"/>
        <w:ind w:firstLine="567"/>
        <w:jc w:val="both"/>
        <w:rPr>
          <w:b/>
          <w:lang w:val="da-DK"/>
        </w:rPr>
      </w:pPr>
      <w:r w:rsidRPr="002A4895">
        <w:rPr>
          <w:b/>
          <w:lang w:val="da-DK"/>
        </w:rPr>
        <w:t xml:space="preserve">I. Về việc hoàn thiện cơ chế chính sách về cổ phần hóa, thoái vốn, cơ cấu lại DNNN </w:t>
      </w:r>
    </w:p>
    <w:p w:rsidR="006C2EF3" w:rsidRPr="002A4895" w:rsidRDefault="00776CD0" w:rsidP="00FC7389">
      <w:pPr>
        <w:tabs>
          <w:tab w:val="left" w:pos="709"/>
        </w:tabs>
        <w:spacing w:before="120" w:after="120"/>
        <w:ind w:firstLine="567"/>
        <w:jc w:val="both"/>
      </w:pPr>
      <w:r>
        <w:t>Trong giai đoạn từ</w:t>
      </w:r>
      <w:r w:rsidR="004C09E3">
        <w:t xml:space="preserve"> năm 202</w:t>
      </w:r>
      <w:r w:rsidR="000211CA">
        <w:t>2</w:t>
      </w:r>
      <w:r w:rsidR="004C09E3">
        <w:t xml:space="preserve"> – tháng </w:t>
      </w:r>
      <w:r w:rsidR="00B328B2">
        <w:t>9</w:t>
      </w:r>
      <w:r>
        <w:t>/2023, h</w:t>
      </w:r>
      <w:r w:rsidR="006C2EF3" w:rsidRPr="002A4895">
        <w:t>ệ thống các cơ chế chính sách pháp luật phục vụ quá trình cơ cấu lại DNNN đã được ban hành đầy đủ, tiếp tục được nghiên cứu, hoàn thiện, đảm bảo chặt chẽ hơn, công khai minh bạch, tối đa hóa lợi ích của Nhà nước, tháo gỡ khó khăn vướng mắc nhằm đẩy nhanh tiến độ cổ phần hóa, thoái vốn và hạn chế thất thoát vốn, tài sản nhà nước trong quá trình cổ phần hóa, thoái vốn, cơ cấu lại DNNN và doanh nghiệp có vốn nhà nước</w:t>
      </w:r>
      <w:r w:rsidR="001B15B1">
        <w:rPr>
          <w:rStyle w:val="FootnoteReference"/>
        </w:rPr>
        <w:footnoteReference w:id="1"/>
      </w:r>
      <w:r w:rsidR="006C2EF3" w:rsidRPr="002A4895">
        <w:t xml:space="preserve">. </w:t>
      </w:r>
    </w:p>
    <w:p w:rsidR="006C2EF3" w:rsidRDefault="006C2EF3" w:rsidP="00FC7389">
      <w:pPr>
        <w:spacing w:before="120" w:after="120"/>
        <w:ind w:firstLine="567"/>
        <w:jc w:val="both"/>
        <w:rPr>
          <w:b/>
          <w:lang w:val="sv-SE"/>
        </w:rPr>
      </w:pPr>
      <w:r w:rsidRPr="002A4895">
        <w:rPr>
          <w:b/>
          <w:lang w:val="sv-SE"/>
        </w:rPr>
        <w:lastRenderedPageBreak/>
        <w:t xml:space="preserve">II. Tình hình cổ phần hóa, thoái vốn, cơ cấu lại DNNN </w:t>
      </w:r>
    </w:p>
    <w:p w:rsidR="00FD0EFA" w:rsidRDefault="00FD0EFA" w:rsidP="00FC7389">
      <w:pPr>
        <w:spacing w:before="120" w:after="120"/>
        <w:ind w:firstLine="567"/>
        <w:jc w:val="both"/>
        <w:rPr>
          <w:b/>
          <w:lang w:val="sv-SE"/>
        </w:rPr>
      </w:pPr>
      <w:r>
        <w:rPr>
          <w:b/>
          <w:lang w:val="sv-SE"/>
        </w:rPr>
        <w:t xml:space="preserve">1. Tình hình phê duyệt Đề án cơ cấu lại </w:t>
      </w:r>
    </w:p>
    <w:p w:rsidR="00AA601E" w:rsidRDefault="00AA601E" w:rsidP="00AA601E">
      <w:pPr>
        <w:spacing w:before="120" w:after="120"/>
        <w:ind w:firstLine="567"/>
        <w:jc w:val="both"/>
        <w:rPr>
          <w:lang w:val="nb-NO"/>
        </w:rPr>
      </w:pPr>
      <w:r w:rsidRPr="00FD0EFA">
        <w:rPr>
          <w:lang w:val="sv-SE"/>
        </w:rPr>
        <w:t>T</w:t>
      </w:r>
      <w:r>
        <w:rPr>
          <w:lang w:val="sv-SE"/>
        </w:rPr>
        <w:t xml:space="preserve">ính đến tháng </w:t>
      </w:r>
      <w:r w:rsidR="00B328B2">
        <w:rPr>
          <w:lang w:val="sv-SE"/>
        </w:rPr>
        <w:t>9</w:t>
      </w:r>
      <w:r>
        <w:rPr>
          <w:lang w:val="sv-SE"/>
        </w:rPr>
        <w:t xml:space="preserve">/2023, đã có 45 doanh nghiệp được cấp có thẩm quyền phê duyệt Đề án cơ cấu lại doanh nghiệp theo Quyết định số 360/QĐ-TTg </w:t>
      </w:r>
      <w:r w:rsidRPr="000E113B">
        <w:rPr>
          <w:lang w:val="sv-SE"/>
        </w:rPr>
        <w:t>ngày 17/3/2022 của Thủ tướng Chính phủ</w:t>
      </w:r>
      <w:r>
        <w:rPr>
          <w:lang w:val="sv-SE"/>
        </w:rPr>
        <w:t>, gồ</w:t>
      </w:r>
      <w:r w:rsidR="00B328B2">
        <w:rPr>
          <w:lang w:val="sv-SE"/>
        </w:rPr>
        <w:t>m 06</w:t>
      </w:r>
      <w:r>
        <w:rPr>
          <w:lang w:val="sv-SE"/>
        </w:rPr>
        <w:t xml:space="preserve"> doanh nghiệp thuộc Trung ương là Tập đoàn Xăng dầu Việt Nam, Tổng công ty Lâm nghiệp Việt Nam, </w:t>
      </w:r>
      <w:r w:rsidRPr="002E27A5">
        <w:rPr>
          <w:lang w:val="sv-SE"/>
        </w:rPr>
        <w:t>Tổng công ty Hàng Hải Việt Nam Nam</w:t>
      </w:r>
      <w:r>
        <w:rPr>
          <w:lang w:val="sv-SE"/>
        </w:rPr>
        <w:t xml:space="preserve"> thuộc UBQLVNN, Công ty Mua bán nợ Việt Nam thuộc Bộ Tài chính,</w:t>
      </w:r>
      <w:r w:rsidRPr="002E27A5">
        <w:t xml:space="preserve"> </w:t>
      </w:r>
      <w:r w:rsidRPr="002E27A5">
        <w:rPr>
          <w:lang w:val="sv-SE"/>
        </w:rPr>
        <w:t>Tổng công ty Cơ khí xây dựng (COMA)</w:t>
      </w:r>
      <w:r w:rsidR="000211CA">
        <w:rPr>
          <w:lang w:val="sv-SE"/>
        </w:rPr>
        <w:t>, Tổng công ty Đầu tư và phát triển nhà và đô thị (HUD)</w:t>
      </w:r>
      <w:r>
        <w:rPr>
          <w:lang w:val="sv-SE"/>
        </w:rPr>
        <w:t xml:space="preserve"> thuộc Bộ Xây dựng và 39 doanh nghiệp thuộc các địa phương. Các đơn vị còn lại đang triển khai xây dựng đề án cơ cấu lại doanh nghiệp để trình cấp có thẩm quyền xem </w:t>
      </w:r>
    </w:p>
    <w:p w:rsidR="007875CE" w:rsidRPr="00BD3C07" w:rsidRDefault="007875CE" w:rsidP="007875CE">
      <w:pPr>
        <w:spacing w:before="120" w:after="120"/>
        <w:ind w:firstLine="567"/>
        <w:jc w:val="both"/>
        <w:rPr>
          <w:b/>
          <w:lang w:val="sv-SE"/>
        </w:rPr>
      </w:pPr>
      <w:r w:rsidRPr="00BD3C07">
        <w:rPr>
          <w:b/>
          <w:lang w:val="sv-SE"/>
        </w:rPr>
        <w:t xml:space="preserve">2. </w:t>
      </w:r>
      <w:r>
        <w:rPr>
          <w:b/>
          <w:lang w:val="sv-SE"/>
        </w:rPr>
        <w:t>K</w:t>
      </w:r>
      <w:r w:rsidRPr="00BD3C07">
        <w:rPr>
          <w:b/>
          <w:lang w:val="sv-SE"/>
        </w:rPr>
        <w:t>ế hoạch cổ phần hóa, thoái vốn</w:t>
      </w:r>
      <w:r>
        <w:rPr>
          <w:b/>
          <w:lang w:val="sv-SE"/>
        </w:rPr>
        <w:t>, thu từ cổ phần hóa, thoái vốn</w:t>
      </w:r>
    </w:p>
    <w:p w:rsidR="007875CE" w:rsidRPr="00BD3C07" w:rsidRDefault="007875CE" w:rsidP="007875CE">
      <w:pPr>
        <w:spacing w:before="120" w:after="120"/>
        <w:ind w:firstLine="567"/>
        <w:jc w:val="both"/>
        <w:rPr>
          <w:lang w:val="sv-SE"/>
        </w:rPr>
      </w:pPr>
      <w:r>
        <w:rPr>
          <w:lang w:val="sv-SE"/>
        </w:rPr>
        <w:t xml:space="preserve">- </w:t>
      </w:r>
      <w:r w:rsidRPr="00BD3C07">
        <w:rPr>
          <w:lang w:val="sv-SE"/>
        </w:rPr>
        <w:t>Ngày 29/11/2022, Thủ tướng Chính phủ ban hành Quyết định số 1479/QĐ-TTg phê duyệt kế hoạch sắp xếp lại DNNN, doanh nghiệp có vốn nhà nước giai đoạn 2022 – 2025. Theo đó, giai đoạn 2022-2025 cổ phần hóa 19 doanh nghiệp</w:t>
      </w:r>
      <w:r>
        <w:rPr>
          <w:lang w:val="sv-SE"/>
        </w:rPr>
        <w:t xml:space="preserve"> (trong đó có một số doanh nghiệp lớn như </w:t>
      </w:r>
      <w:r w:rsidRPr="00BD3C07">
        <w:rPr>
          <w:lang w:val="sv-SE"/>
        </w:rPr>
        <w:t>Tổng công ty Đầu tư phát triển nhà và đô thị</w:t>
      </w:r>
      <w:r>
        <w:rPr>
          <w:lang w:val="sv-SE"/>
        </w:rPr>
        <w:t xml:space="preserve">, </w:t>
      </w:r>
      <w:r w:rsidRPr="00BD3C07">
        <w:rPr>
          <w:lang w:val="sv-SE"/>
        </w:rPr>
        <w:t>Ngân hàng Nông nghiệp và Phát triển Nông thôn Việt Nam</w:t>
      </w:r>
      <w:r>
        <w:rPr>
          <w:lang w:val="sv-SE"/>
        </w:rPr>
        <w:t>...)</w:t>
      </w:r>
      <w:r w:rsidRPr="00BD3C07">
        <w:rPr>
          <w:lang w:val="sv-SE"/>
        </w:rPr>
        <w:t>, thoái vốn nhà nước đầu tư tại 141 doanh nghiệp</w:t>
      </w:r>
      <w:r>
        <w:rPr>
          <w:lang w:val="sv-SE"/>
        </w:rPr>
        <w:t xml:space="preserve"> (trong đó có một số doanh nghiệp có phần vốn nhà nước cần phải thoái lớn như </w:t>
      </w:r>
      <w:r w:rsidRPr="00BD3C07">
        <w:rPr>
          <w:lang w:val="sv-SE"/>
        </w:rPr>
        <w:t>Tổng công ty Cơ khí xây dự</w:t>
      </w:r>
      <w:r>
        <w:rPr>
          <w:lang w:val="sv-SE"/>
        </w:rPr>
        <w:t>ng</w:t>
      </w:r>
      <w:r w:rsidRPr="00BD3C07">
        <w:rPr>
          <w:lang w:val="sv-SE"/>
        </w:rPr>
        <w:t>,</w:t>
      </w:r>
      <w:r>
        <w:rPr>
          <w:lang w:val="sv-SE"/>
        </w:rPr>
        <w:t xml:space="preserve"> </w:t>
      </w:r>
      <w:r w:rsidRPr="00BD3C07">
        <w:rPr>
          <w:lang w:val="sv-SE"/>
        </w:rPr>
        <w:t>Tổng Công ty cổ phần Sông Hồng</w:t>
      </w:r>
      <w:r>
        <w:rPr>
          <w:lang w:val="sv-SE"/>
        </w:rPr>
        <w:t>,</w:t>
      </w:r>
      <w:r w:rsidRPr="00BD3C07">
        <w:t xml:space="preserve"> </w:t>
      </w:r>
      <w:r w:rsidRPr="00BD3C07">
        <w:rPr>
          <w:lang w:val="sv-SE"/>
        </w:rPr>
        <w:t>Tổng công ty Lắp máy Việt Nam</w:t>
      </w:r>
      <w:r>
        <w:rPr>
          <w:lang w:val="sv-SE"/>
        </w:rPr>
        <w:t>,</w:t>
      </w:r>
      <w:r w:rsidRPr="00BD3C07">
        <w:t xml:space="preserve"> </w:t>
      </w:r>
      <w:r w:rsidRPr="00BD3C07">
        <w:rPr>
          <w:lang w:val="sv-SE"/>
        </w:rPr>
        <w:t>Tổng công ty Viglacera</w:t>
      </w:r>
      <w:r>
        <w:rPr>
          <w:lang w:val="sv-SE"/>
        </w:rPr>
        <w:t xml:space="preserve">, </w:t>
      </w:r>
      <w:r w:rsidRPr="00BD3C07">
        <w:rPr>
          <w:lang w:val="sv-SE"/>
        </w:rPr>
        <w:t>Tổng công ty Truyền hình Cáp Việt Nam (VTVcab)</w:t>
      </w:r>
      <w:r>
        <w:rPr>
          <w:lang w:val="sv-SE"/>
        </w:rPr>
        <w:t xml:space="preserve">....). </w:t>
      </w:r>
    </w:p>
    <w:p w:rsidR="007875CE" w:rsidRDefault="007875CE" w:rsidP="007875CE">
      <w:pPr>
        <w:spacing w:before="120" w:after="120"/>
        <w:ind w:firstLine="567"/>
        <w:jc w:val="both"/>
        <w:rPr>
          <w:lang w:val="nb-NO"/>
        </w:rPr>
      </w:pPr>
      <w:r>
        <w:rPr>
          <w:lang w:val="nb-NO"/>
        </w:rPr>
        <w:t xml:space="preserve">- </w:t>
      </w:r>
      <w:r w:rsidRPr="007F5440">
        <w:rPr>
          <w:lang w:val="nb-NO"/>
        </w:rPr>
        <w:t xml:space="preserve">Theo Nghị quyết số 23/2021/QH15 ngày 28/7/2021 của Quốc hội thì giai đoạn 2021 – 2025 </w:t>
      </w:r>
      <w:r>
        <w:rPr>
          <w:lang w:val="nb-NO"/>
        </w:rPr>
        <w:t>thu</w:t>
      </w:r>
      <w:r w:rsidRPr="007F5440">
        <w:rPr>
          <w:lang w:val="nb-NO"/>
        </w:rPr>
        <w:t xml:space="preserve"> từ nguồn cổ phần hóa và thoái vốn nhà nước</w:t>
      </w:r>
      <w:r>
        <w:rPr>
          <w:lang w:val="nb-NO"/>
        </w:rPr>
        <w:t xml:space="preserve"> theo kế hoạch là</w:t>
      </w:r>
      <w:r w:rsidRPr="007F5440">
        <w:rPr>
          <w:lang w:val="nb-NO"/>
        </w:rPr>
        <w:t xml:space="preserve"> 248.000 tỷ đồng</w:t>
      </w:r>
      <w:r>
        <w:rPr>
          <w:lang w:val="nb-NO"/>
        </w:rPr>
        <w:t xml:space="preserve"> (ngân sách trung ương 200.000 tỷ đồng; ngân sách địa phương 48.000 tỷ đồng). Trên cơ sở đó, Thủ tướng Chính phủ đã giao kế hoạch thu hồi vốn nhà nước tại một số tổ chức kinh tế do Trung ương quản lý cụ thể từng năm, theo đó năm 2021 là 40.000 tỷ đồng (Quyết định số 1950/QĐ-TTg ngày 28/11/2020), năm 2022 là 20.000 tỷ đồng (Quyết định số 2047/QĐ-TTg ngày 03/12/2021), năm 2023 là 3.000 tỷ đồng (Quyết định số 1506/QĐ-TTg ngày  02/12/2022).</w:t>
      </w:r>
    </w:p>
    <w:p w:rsidR="006C2EF3" w:rsidRPr="002A4895" w:rsidRDefault="007875CE" w:rsidP="00FC7389">
      <w:pPr>
        <w:spacing w:before="120" w:after="120"/>
        <w:ind w:firstLine="567"/>
        <w:jc w:val="both"/>
        <w:rPr>
          <w:b/>
          <w:lang w:val="sv-SE"/>
        </w:rPr>
      </w:pPr>
      <w:r>
        <w:rPr>
          <w:b/>
          <w:lang w:val="sv-SE"/>
        </w:rPr>
        <w:t>3</w:t>
      </w:r>
      <w:r w:rsidR="006C2EF3" w:rsidRPr="002A4895">
        <w:rPr>
          <w:b/>
          <w:lang w:val="sv-SE"/>
        </w:rPr>
        <w:t xml:space="preserve">. Tình hình cổ phần hóa </w:t>
      </w:r>
    </w:p>
    <w:p w:rsidR="00AA601E" w:rsidRDefault="00AA601E" w:rsidP="00AA601E">
      <w:pPr>
        <w:spacing w:before="120" w:after="120"/>
        <w:ind w:firstLine="567"/>
        <w:jc w:val="both"/>
      </w:pPr>
      <w:r w:rsidRPr="002A4895">
        <w:rPr>
          <w:lang w:val="sv-SE"/>
        </w:rPr>
        <w:t xml:space="preserve">Năm 2022, </w:t>
      </w:r>
      <w:r>
        <w:rPr>
          <w:lang w:val="sv-SE"/>
        </w:rPr>
        <w:t>ghi nhận bổ sung 01 DNNN thực hiện</w:t>
      </w:r>
      <w:r w:rsidRPr="002A4895">
        <w:rPr>
          <w:lang w:val="sv-SE"/>
        </w:rPr>
        <w:t xml:space="preserve"> cổ phần hóa </w:t>
      </w:r>
      <w:r>
        <w:rPr>
          <w:lang w:val="sv-SE"/>
        </w:rPr>
        <w:t>(</w:t>
      </w:r>
      <w:r w:rsidRPr="002A4895">
        <w:rPr>
          <w:lang w:val="sv-SE"/>
        </w:rPr>
        <w:t>đã chính thức chuyển thành công ty cổ phần năm 2021) với tổng giá trị doanh nghiệp</w:t>
      </w:r>
      <w:r w:rsidRPr="002A4895">
        <w:t xml:space="preserve"> là 309 tỷ đồng, trong đó giá trị thực tế phần vốn nhà nước là 278 tỷ đồng</w:t>
      </w:r>
      <w:r>
        <w:t>)</w:t>
      </w:r>
      <w:r w:rsidRPr="002A4895">
        <w:t>.</w:t>
      </w:r>
    </w:p>
    <w:p w:rsidR="00AA601E" w:rsidRPr="002A4895" w:rsidRDefault="00AA601E" w:rsidP="00AA601E">
      <w:pPr>
        <w:spacing w:before="120" w:after="120"/>
        <w:ind w:firstLine="567"/>
        <w:jc w:val="both"/>
        <w:rPr>
          <w:lang w:val="sv-SE"/>
        </w:rPr>
      </w:pPr>
      <w:r w:rsidRPr="002A4895">
        <w:rPr>
          <w:lang w:val="sv-SE"/>
        </w:rPr>
        <w:lastRenderedPageBreak/>
        <w:t xml:space="preserve">Trong </w:t>
      </w:r>
      <w:r w:rsidR="00B328B2">
        <w:rPr>
          <w:lang w:val="pl-PL"/>
        </w:rPr>
        <w:t>09</w:t>
      </w:r>
      <w:r>
        <w:rPr>
          <w:lang w:val="pl-PL"/>
        </w:rPr>
        <w:t xml:space="preserve"> tháng đầu năm </w:t>
      </w:r>
      <w:r w:rsidRPr="00116D5A">
        <w:rPr>
          <w:lang w:val="pl-PL"/>
        </w:rPr>
        <w:t>2023</w:t>
      </w:r>
      <w:r w:rsidRPr="002A4895">
        <w:rPr>
          <w:lang w:val="sv-SE"/>
        </w:rPr>
        <w:t xml:space="preserve">, các đơn vị tiếp tục triển khai công tác cổ phần hóa theo </w:t>
      </w:r>
      <w:r>
        <w:rPr>
          <w:lang w:val="pl-PL"/>
        </w:rPr>
        <w:t xml:space="preserve">phê duyệt kế hoạch sắp xếp lại DNNN, doanh nghiệp có vốn nhà nước giai đoạn 2022 – 2025 </w:t>
      </w:r>
      <w:r w:rsidRPr="002A4895">
        <w:rPr>
          <w:lang w:val="sv-SE"/>
        </w:rPr>
        <w:t>đã được</w:t>
      </w:r>
      <w:r>
        <w:rPr>
          <w:lang w:val="sv-SE"/>
        </w:rPr>
        <w:t xml:space="preserve"> Thủ tướng Chính phủ</w:t>
      </w:r>
      <w:r w:rsidRPr="002A4895">
        <w:rPr>
          <w:lang w:val="sv-SE"/>
        </w:rPr>
        <w:t xml:space="preserve"> phê duyệt</w:t>
      </w:r>
      <w:r>
        <w:rPr>
          <w:lang w:val="sv-SE"/>
        </w:rPr>
        <w:t xml:space="preserve"> tại Quyết định số 1479/QĐ-TTg ngày 29/11/2022</w:t>
      </w:r>
      <w:r w:rsidRPr="002A4895">
        <w:rPr>
          <w:lang w:val="sv-SE"/>
        </w:rPr>
        <w:t>.</w:t>
      </w:r>
    </w:p>
    <w:p w:rsidR="006C2EF3" w:rsidRPr="002A4895" w:rsidRDefault="007875CE" w:rsidP="00FC7389">
      <w:pPr>
        <w:spacing w:before="120" w:after="120"/>
        <w:ind w:firstLine="567"/>
        <w:jc w:val="both"/>
        <w:rPr>
          <w:b/>
          <w:lang w:val="sv-SE"/>
        </w:rPr>
      </w:pPr>
      <w:r>
        <w:rPr>
          <w:b/>
          <w:lang w:val="sv-SE"/>
        </w:rPr>
        <w:t>4</w:t>
      </w:r>
      <w:r w:rsidR="006C2EF3" w:rsidRPr="002A4895">
        <w:rPr>
          <w:b/>
          <w:lang w:val="sv-SE"/>
        </w:rPr>
        <w:t xml:space="preserve">. Tình hình thoái vốn </w:t>
      </w:r>
    </w:p>
    <w:p w:rsidR="00AA601E" w:rsidRPr="002A4895" w:rsidRDefault="00AA601E" w:rsidP="00AA601E">
      <w:pPr>
        <w:spacing w:before="120" w:after="120"/>
        <w:ind w:firstLine="567"/>
        <w:jc w:val="both"/>
        <w:rPr>
          <w:noProof/>
        </w:rPr>
      </w:pPr>
      <w:r w:rsidRPr="002A4895">
        <w:t xml:space="preserve">Năm 2022, </w:t>
      </w:r>
      <w:r>
        <w:t>(i)</w:t>
      </w:r>
      <w:r w:rsidRPr="002A4895">
        <w:t xml:space="preserve"> thoái vốn nhà nước tại 01 doanh nghiệp với giá trị </w:t>
      </w:r>
      <w:r w:rsidRPr="002A4895">
        <w:rPr>
          <w:noProof/>
          <w:lang w:val="vi-VN"/>
        </w:rPr>
        <w:t>195 tỷ đồng</w:t>
      </w:r>
      <w:r w:rsidRPr="002A4895">
        <w:rPr>
          <w:noProof/>
        </w:rPr>
        <w:t xml:space="preserve"> </w:t>
      </w:r>
      <w:r w:rsidRPr="002A4895">
        <w:rPr>
          <w:noProof/>
          <w:lang w:val="vi-VN"/>
        </w:rPr>
        <w:t>thu về 390 tỷ đồng</w:t>
      </w:r>
      <w:r w:rsidRPr="002A4895">
        <w:rPr>
          <w:noProof/>
        </w:rPr>
        <w:t xml:space="preserve">; </w:t>
      </w:r>
      <w:r>
        <w:rPr>
          <w:noProof/>
        </w:rPr>
        <w:t>(ii)</w:t>
      </w:r>
      <w:r w:rsidRPr="002A4895">
        <w:t xml:space="preserve">các </w:t>
      </w:r>
      <w:r w:rsidRPr="002A4895">
        <w:rPr>
          <w:lang w:val="vi-VN"/>
        </w:rPr>
        <w:t xml:space="preserve">Tập đoàn, </w:t>
      </w:r>
      <w:r w:rsidRPr="002A4895">
        <w:t>T</w:t>
      </w:r>
      <w:r w:rsidRPr="002A4895">
        <w:rPr>
          <w:lang w:val="vi-VN"/>
        </w:rPr>
        <w:t>ổng công ty</w:t>
      </w:r>
      <w:r w:rsidRPr="002A4895">
        <w:t>, DNNN</w:t>
      </w:r>
      <w:r w:rsidRPr="002A4895">
        <w:rPr>
          <w:lang w:val="vi-VN"/>
        </w:rPr>
        <w:t xml:space="preserve"> thoái</w:t>
      </w:r>
      <w:r w:rsidRPr="002A4895">
        <w:t xml:space="preserve"> vốn tại 31 doanh nghiệp với giá </w:t>
      </w:r>
      <w:r w:rsidRPr="002A4895">
        <w:rPr>
          <w:noProof/>
          <w:lang w:val="vi-VN"/>
        </w:rPr>
        <w:t>trị là 688,7 tỷ đồng thu về 3.900</w:t>
      </w:r>
      <w:r w:rsidRPr="002A4895">
        <w:rPr>
          <w:noProof/>
        </w:rPr>
        <w:t>,6</w:t>
      </w:r>
      <w:r w:rsidRPr="002A4895">
        <w:rPr>
          <w:noProof/>
          <w:lang w:val="vi-VN"/>
        </w:rPr>
        <w:t xml:space="preserve"> tỷ đồng</w:t>
      </w:r>
      <w:r w:rsidRPr="002A4895">
        <w:rPr>
          <w:noProof/>
        </w:rPr>
        <w:t>.</w:t>
      </w:r>
    </w:p>
    <w:p w:rsidR="00AA601E" w:rsidRDefault="00AA601E" w:rsidP="00AA601E">
      <w:pPr>
        <w:spacing w:before="120" w:after="120"/>
        <w:ind w:firstLine="567"/>
        <w:jc w:val="both"/>
        <w:rPr>
          <w:lang w:val="sv-SE"/>
        </w:rPr>
      </w:pPr>
      <w:r w:rsidRPr="002A4895">
        <w:rPr>
          <w:lang w:val="sv-SE"/>
        </w:rPr>
        <w:t>Lũy kế</w:t>
      </w:r>
      <w:r>
        <w:rPr>
          <w:lang w:val="sv-SE"/>
        </w:rPr>
        <w:t xml:space="preserve"> 0</w:t>
      </w:r>
      <w:r w:rsidR="00B328B2">
        <w:rPr>
          <w:lang w:val="sv-SE"/>
        </w:rPr>
        <w:t>9</w:t>
      </w:r>
      <w:r w:rsidRPr="002A4895">
        <w:rPr>
          <w:lang w:val="sv-SE"/>
        </w:rPr>
        <w:t xml:space="preserve"> tháng đầu năm 2023, </w:t>
      </w:r>
      <w:r>
        <w:rPr>
          <w:lang w:val="sv-SE"/>
        </w:rPr>
        <w:t xml:space="preserve">thoái vốn nhà nước tại 04 doanh nghiệp (trong đó 03 doanh nghiệp theo Quyết định số 1479/QĐ-TTg, 01 doanh nghiệp theo Thông báo số 281/TB-VPCP) với giá trị 8,8 tỷ đồng, thu về 19 tỷ đồng; </w:t>
      </w:r>
      <w:r w:rsidRPr="002A4895">
        <w:t xml:space="preserve">các </w:t>
      </w:r>
      <w:r w:rsidRPr="002A4895">
        <w:rPr>
          <w:lang w:val="vi-VN"/>
        </w:rPr>
        <w:t xml:space="preserve">Tập đoàn, </w:t>
      </w:r>
      <w:r w:rsidRPr="002A4895">
        <w:t>T</w:t>
      </w:r>
      <w:r w:rsidRPr="002A4895">
        <w:rPr>
          <w:lang w:val="vi-VN"/>
        </w:rPr>
        <w:t>ổng công ty</w:t>
      </w:r>
      <w:r w:rsidRPr="002A4895">
        <w:t>, DNNN</w:t>
      </w:r>
      <w:r w:rsidRPr="002A4895">
        <w:rPr>
          <w:lang w:val="vi-VN"/>
        </w:rPr>
        <w:t xml:space="preserve"> </w:t>
      </w:r>
      <w:r>
        <w:t xml:space="preserve">đã </w:t>
      </w:r>
      <w:r w:rsidRPr="002A4895">
        <w:rPr>
          <w:lang w:val="vi-VN"/>
        </w:rPr>
        <w:t>thoái</w:t>
      </w:r>
      <w:r w:rsidRPr="002A4895">
        <w:t xml:space="preserve"> vốn tại 0</w:t>
      </w:r>
      <w:r>
        <w:t>7</w:t>
      </w:r>
      <w:r w:rsidRPr="002A4895">
        <w:t xml:space="preserve"> doanh nghiệp</w:t>
      </w:r>
      <w:r w:rsidRPr="002A4895">
        <w:rPr>
          <w:lang w:val="sv-SE"/>
        </w:rPr>
        <w:t xml:space="preserve"> </w:t>
      </w:r>
      <w:r w:rsidRPr="002A4895">
        <w:t xml:space="preserve">với giá trị là </w:t>
      </w:r>
      <w:r>
        <w:t>53,5</w:t>
      </w:r>
      <w:r w:rsidRPr="002A4895">
        <w:t xml:space="preserve"> tỷ đồng thu về </w:t>
      </w:r>
      <w:r>
        <w:t>206,3</w:t>
      </w:r>
      <w:r w:rsidRPr="002A4895">
        <w:t xml:space="preserve"> tỷ đồng</w:t>
      </w:r>
      <w:r w:rsidRPr="002A4895">
        <w:rPr>
          <w:lang w:val="sv-SE"/>
        </w:rPr>
        <w:t>.</w:t>
      </w:r>
    </w:p>
    <w:p w:rsidR="00564AE8" w:rsidRPr="00564AE8" w:rsidRDefault="007875CE" w:rsidP="00FC7389">
      <w:pPr>
        <w:spacing w:before="120" w:after="120"/>
        <w:ind w:firstLine="567"/>
        <w:jc w:val="both"/>
        <w:rPr>
          <w:b/>
          <w:lang w:val="sv-SE"/>
        </w:rPr>
      </w:pPr>
      <w:r>
        <w:rPr>
          <w:b/>
          <w:lang w:val="sv-SE"/>
        </w:rPr>
        <w:t>5</w:t>
      </w:r>
      <w:r w:rsidR="00564AE8" w:rsidRPr="00564AE8">
        <w:rPr>
          <w:b/>
          <w:lang w:val="sv-SE"/>
        </w:rPr>
        <w:t>. Về nguồn thu từ bán vốn nhà nướ</w:t>
      </w:r>
      <w:r w:rsidR="00AB1116">
        <w:rPr>
          <w:b/>
          <w:lang w:val="sv-SE"/>
        </w:rPr>
        <w:t>c</w:t>
      </w:r>
      <w:r w:rsidR="00564AE8" w:rsidRPr="00564AE8">
        <w:rPr>
          <w:b/>
          <w:lang w:val="sv-SE"/>
        </w:rPr>
        <w:t xml:space="preserve"> </w:t>
      </w:r>
    </w:p>
    <w:p w:rsidR="00A61E5F" w:rsidRPr="00BD7DA0" w:rsidRDefault="00490775" w:rsidP="00A61E5F">
      <w:pPr>
        <w:spacing w:before="120" w:after="120"/>
        <w:ind w:firstLine="567"/>
        <w:jc w:val="both"/>
        <w:rPr>
          <w:lang w:val="sv-SE"/>
        </w:rPr>
      </w:pPr>
      <w:r w:rsidRPr="007F5440">
        <w:rPr>
          <w:lang w:val="sv-SE"/>
        </w:rPr>
        <w:t xml:space="preserve">Lũy </w:t>
      </w:r>
      <w:r>
        <w:rPr>
          <w:lang w:val="sv-SE"/>
        </w:rPr>
        <w:t>kế năm 2021 - 2022:</w:t>
      </w:r>
      <w:r w:rsidRPr="007F5440">
        <w:rPr>
          <w:lang w:val="sv-SE"/>
        </w:rPr>
        <w:t xml:space="preserve"> </w:t>
      </w:r>
      <w:r w:rsidR="00A61E5F" w:rsidRPr="00654E6C">
        <w:rPr>
          <w:rFonts w:eastAsia="Arial"/>
          <w:lang w:val="nl-NL"/>
        </w:rPr>
        <w:t xml:space="preserve">Số thu </w:t>
      </w:r>
      <w:r w:rsidR="00A61E5F">
        <w:rPr>
          <w:rFonts w:eastAsia="Arial"/>
          <w:lang w:val="nl-NL"/>
        </w:rPr>
        <w:t xml:space="preserve">từ bán vốn nhà nước </w:t>
      </w:r>
      <w:r w:rsidR="00A61E5F" w:rsidRPr="00654E6C">
        <w:rPr>
          <w:rFonts w:eastAsia="Arial"/>
          <w:lang w:val="nl-NL"/>
        </w:rPr>
        <w:t>của Quỹ Hỗ trợ sắp xếp và phát triển doanh nghiệp đã nộp về NSNN năm 2021 là 1.000 tỷ đồ</w:t>
      </w:r>
      <w:r w:rsidR="008810D5">
        <w:rPr>
          <w:rFonts w:eastAsia="Arial"/>
          <w:lang w:val="nl-NL"/>
        </w:rPr>
        <w:t>ng,</w:t>
      </w:r>
      <w:r w:rsidR="008810D5" w:rsidRPr="008810D5">
        <w:rPr>
          <w:lang w:val="sv-SE"/>
        </w:rPr>
        <w:t xml:space="preserve"> </w:t>
      </w:r>
      <w:r w:rsidR="008810D5">
        <w:rPr>
          <w:lang w:val="sv-SE"/>
        </w:rPr>
        <w:t xml:space="preserve">Bộ Tài chính đã </w:t>
      </w:r>
      <w:r w:rsidR="008810D5" w:rsidRPr="007F5440">
        <w:rPr>
          <w:lang w:val="sv-SE"/>
        </w:rPr>
        <w:t xml:space="preserve">tất toán các tài khoản của Quỹ tại Sở Giao dịch Kho bạc nhà nước </w:t>
      </w:r>
      <w:r w:rsidR="008810D5">
        <w:rPr>
          <w:lang w:val="sv-SE"/>
        </w:rPr>
        <w:t>ngày 10/05/2022;</w:t>
      </w:r>
      <w:r w:rsidR="00A61E5F" w:rsidRPr="00BD7DA0">
        <w:rPr>
          <w:lang w:val="sv-SE"/>
        </w:rPr>
        <w:t xml:space="preserve"> số thu từ bán vốn nhà nước năm 2022 là 3.848 tỷ đồng (trong đó thu của NSTW là 2.511 tỷ đồng, thu của NSĐP là 1.338 tỷ đồng). </w:t>
      </w:r>
    </w:p>
    <w:p w:rsidR="00B328B2" w:rsidRDefault="00B328B2" w:rsidP="00B328B2">
      <w:pPr>
        <w:spacing w:after="120"/>
        <w:ind w:firstLine="567"/>
        <w:jc w:val="both"/>
        <w:rPr>
          <w:lang w:val="pl-PL"/>
        </w:rPr>
      </w:pPr>
      <w:r>
        <w:rPr>
          <w:lang w:val="pl-PL"/>
        </w:rPr>
        <w:t xml:space="preserve">- Trên cơ sở tổng hợp số liệu của các Bộ, cơ quan ngang Bộ, cơ quan ngang Bộ, cơ quan thuộc Chính phủ và UBND các tỉnh, thành phố trực thuộc Trung ương, Bộ Tài chính đã có công văn số 9617/BTC-TCDN ngày 11/9/2023 báo cáo Thủ tướng Chính phủ dự kiến </w:t>
      </w:r>
      <w:r w:rsidRPr="006E0F04">
        <w:t xml:space="preserve">nguồn thu từ bán vốn nhà nước nộp về NSNN giai đoạn 2021 </w:t>
      </w:r>
      <w:r>
        <w:t>–</w:t>
      </w:r>
      <w:r w:rsidRPr="006E0F04">
        <w:t xml:space="preserve"> 2025</w:t>
      </w:r>
      <w:r>
        <w:t xml:space="preserve"> như sau:</w:t>
      </w:r>
    </w:p>
    <w:p w:rsidR="00B328B2" w:rsidRPr="00F33A49" w:rsidRDefault="00B328B2" w:rsidP="00B328B2">
      <w:pPr>
        <w:tabs>
          <w:tab w:val="left" w:pos="567"/>
        </w:tabs>
        <w:spacing w:before="120" w:after="120"/>
        <w:ind w:firstLine="567"/>
        <w:jc w:val="both"/>
        <w:rPr>
          <w:rFonts w:eastAsia="Arial"/>
          <w:lang w:val="nl-NL"/>
        </w:rPr>
      </w:pPr>
      <w:r>
        <w:rPr>
          <w:rFonts w:eastAsia="Arial"/>
          <w:lang w:val="nl-NL"/>
        </w:rPr>
        <w:t xml:space="preserve">+ </w:t>
      </w:r>
      <w:r w:rsidRPr="00F33A49">
        <w:rPr>
          <w:rFonts w:eastAsia="Arial"/>
          <w:lang w:val="nl-NL"/>
        </w:rPr>
        <w:t xml:space="preserve">Tổng giá trị dự kiến nộp về Ngân sách trung ương là </w:t>
      </w:r>
      <w:r>
        <w:rPr>
          <w:rFonts w:eastAsia="Arial"/>
          <w:lang w:val="nl-NL"/>
        </w:rPr>
        <w:t>9.029</w:t>
      </w:r>
      <w:r w:rsidRPr="00F33A49">
        <w:rPr>
          <w:rFonts w:eastAsia="Arial"/>
          <w:lang w:val="nl-NL"/>
        </w:rPr>
        <w:t xml:space="preserve"> tỷ đồng (trong đó cổ phần hóa là 1.9</w:t>
      </w:r>
      <w:r>
        <w:rPr>
          <w:rFonts w:eastAsia="Arial"/>
          <w:lang w:val="nl-NL"/>
        </w:rPr>
        <w:t>76</w:t>
      </w:r>
      <w:r w:rsidRPr="00F33A49">
        <w:rPr>
          <w:rFonts w:eastAsia="Arial"/>
          <w:lang w:val="nl-NL"/>
        </w:rPr>
        <w:t xml:space="preserve"> tỷ đồng, thoái vốn là </w:t>
      </w:r>
      <w:r>
        <w:rPr>
          <w:rFonts w:eastAsia="Arial"/>
          <w:lang w:val="nl-NL"/>
        </w:rPr>
        <w:t xml:space="preserve">7.053 </w:t>
      </w:r>
      <w:r w:rsidRPr="00F33A49">
        <w:rPr>
          <w:rFonts w:eastAsia="Arial"/>
          <w:lang w:val="nl-NL"/>
        </w:rPr>
        <w:t xml:space="preserve">tỷ đồng). </w:t>
      </w:r>
    </w:p>
    <w:p w:rsidR="00B328B2" w:rsidRPr="00F33A49" w:rsidRDefault="00B328B2" w:rsidP="00B328B2">
      <w:pPr>
        <w:tabs>
          <w:tab w:val="left" w:pos="567"/>
        </w:tabs>
        <w:spacing w:before="120" w:after="120"/>
        <w:ind w:firstLine="567"/>
        <w:jc w:val="both"/>
        <w:rPr>
          <w:rFonts w:eastAsia="Arial"/>
          <w:lang w:val="nl-NL"/>
        </w:rPr>
      </w:pPr>
      <w:r>
        <w:rPr>
          <w:rFonts w:eastAsia="Arial"/>
          <w:lang w:val="nl-NL"/>
        </w:rPr>
        <w:t xml:space="preserve">+ </w:t>
      </w:r>
      <w:r w:rsidRPr="00F33A49">
        <w:rPr>
          <w:rFonts w:eastAsia="Arial"/>
          <w:lang w:val="nl-NL"/>
        </w:rPr>
        <w:t xml:space="preserve">Tổng giá trị dự kiến nộp về Ngân sách địa phương: </w:t>
      </w:r>
      <w:r>
        <w:rPr>
          <w:rFonts w:eastAsia="Arial"/>
          <w:lang w:val="nl-NL"/>
        </w:rPr>
        <w:t>7.455</w:t>
      </w:r>
      <w:r w:rsidRPr="00F33A49">
        <w:rPr>
          <w:rFonts w:eastAsia="Arial"/>
          <w:lang w:val="nl-NL"/>
        </w:rPr>
        <w:t xml:space="preserve"> tỷ đồ</w:t>
      </w:r>
      <w:r>
        <w:rPr>
          <w:rFonts w:eastAsia="Arial"/>
          <w:lang w:val="nl-NL"/>
        </w:rPr>
        <w:t>ng (</w:t>
      </w:r>
      <w:r w:rsidRPr="00F33A49">
        <w:rPr>
          <w:rFonts w:eastAsia="Arial"/>
          <w:lang w:val="nl-NL"/>
        </w:rPr>
        <w:t>trong đó cổ phần hóa là 2.</w:t>
      </w:r>
      <w:r>
        <w:rPr>
          <w:rFonts w:eastAsia="Arial"/>
          <w:lang w:val="nl-NL"/>
        </w:rPr>
        <w:t>547</w:t>
      </w:r>
      <w:r w:rsidRPr="00F33A49">
        <w:rPr>
          <w:rFonts w:eastAsia="Arial"/>
          <w:lang w:val="nl-NL"/>
        </w:rPr>
        <w:t xml:space="preserve"> tỷ đồng, thoái vốn là </w:t>
      </w:r>
      <w:r>
        <w:rPr>
          <w:rFonts w:eastAsia="Arial"/>
          <w:lang w:val="nl-NL"/>
        </w:rPr>
        <w:t>4.907</w:t>
      </w:r>
      <w:r w:rsidRPr="00F33A49">
        <w:rPr>
          <w:rFonts w:eastAsia="Arial"/>
          <w:lang w:val="nl-NL"/>
        </w:rPr>
        <w:t xml:space="preserve"> tỷ đồng</w:t>
      </w:r>
      <w:r>
        <w:rPr>
          <w:rFonts w:eastAsia="Arial"/>
          <w:lang w:val="nl-NL"/>
        </w:rPr>
        <w:t>)</w:t>
      </w:r>
      <w:r w:rsidRPr="00F33A49">
        <w:rPr>
          <w:rFonts w:eastAsia="Arial"/>
          <w:lang w:val="nl-NL"/>
        </w:rPr>
        <w:t>.</w:t>
      </w:r>
    </w:p>
    <w:p w:rsidR="00B328B2" w:rsidRDefault="00B328B2" w:rsidP="00B328B2">
      <w:pPr>
        <w:tabs>
          <w:tab w:val="left" w:pos="567"/>
        </w:tabs>
        <w:spacing w:before="120" w:after="120"/>
        <w:ind w:firstLine="567"/>
        <w:jc w:val="both"/>
      </w:pPr>
      <w:r>
        <w:rPr>
          <w:rFonts w:eastAsia="Arial"/>
          <w:lang w:val="nl-NL"/>
        </w:rPr>
        <w:t xml:space="preserve">+ </w:t>
      </w:r>
      <w:r w:rsidRPr="00F33A49">
        <w:rPr>
          <w:rFonts w:eastAsia="Arial"/>
          <w:lang w:val="nl-NL"/>
        </w:rPr>
        <w:t xml:space="preserve">Tổng giá trị các doanh nghiệp đã cổ phần hóa, thoái vốn trong giai đoạn trước năm 2023 chưa nộp về Ngân sách nhà nước theo quy định là 494 tỷ đồng </w:t>
      </w:r>
      <w:r>
        <w:rPr>
          <w:rFonts w:eastAsia="Arial"/>
          <w:lang w:val="nl-NL"/>
        </w:rPr>
        <w:t>(</w:t>
      </w:r>
      <w:r w:rsidRPr="00F33A49">
        <w:rPr>
          <w:rFonts w:eastAsia="Arial"/>
          <w:lang w:val="nl-NL"/>
        </w:rPr>
        <w:t>trong đó cổ phần hóa là 14 tỷ đồng, thoái vốn là 480</w:t>
      </w:r>
      <w:r>
        <w:t xml:space="preserve"> tỷ đồng).</w:t>
      </w:r>
    </w:p>
    <w:p w:rsidR="00B328B2" w:rsidRDefault="00B328B2" w:rsidP="00B328B2">
      <w:pPr>
        <w:tabs>
          <w:tab w:val="left" w:pos="567"/>
        </w:tabs>
        <w:spacing w:before="120" w:after="120"/>
        <w:ind w:firstLine="567"/>
        <w:jc w:val="both"/>
        <w:rPr>
          <w:rFonts w:eastAsia="Arial"/>
          <w:lang w:val="nl-NL"/>
        </w:rPr>
      </w:pPr>
      <w:r>
        <w:t xml:space="preserve">=&gt; Tổng giá trị dự kiến thu từ cổ phần hóa, thoái vốn giai đoạn 2023 - 2025 là </w:t>
      </w:r>
      <w:r>
        <w:rPr>
          <w:b/>
        </w:rPr>
        <w:t>16.484</w:t>
      </w:r>
      <w:r w:rsidRPr="00F33A49">
        <w:rPr>
          <w:b/>
        </w:rPr>
        <w:t xml:space="preserve"> đồng</w:t>
      </w:r>
      <w:r>
        <w:rPr>
          <w:b/>
        </w:rPr>
        <w:t>.</w:t>
      </w:r>
      <w:r>
        <w:t xml:space="preserve"> Nếu tính cả số tiền đã thu từ cổ phần hóa, thoái vốn giai đoạn 2021 – 2022 đang giữ tại địa phương, chưa </w:t>
      </w:r>
      <w:r w:rsidRPr="00654E6C">
        <w:rPr>
          <w:rFonts w:eastAsia="Arial"/>
          <w:lang w:val="nl-NL"/>
        </w:rPr>
        <w:t xml:space="preserve">nộp tiền thu về NSNN là </w:t>
      </w:r>
      <w:r>
        <w:rPr>
          <w:rFonts w:eastAsia="Arial"/>
          <w:b/>
          <w:lang w:val="nl-NL"/>
        </w:rPr>
        <w:t>16.979</w:t>
      </w:r>
      <w:r w:rsidRPr="008039CE">
        <w:rPr>
          <w:rFonts w:eastAsia="Arial"/>
          <w:b/>
          <w:lang w:val="nl-NL"/>
        </w:rPr>
        <w:t xml:space="preserve"> tỷ đồng</w:t>
      </w:r>
      <w:r w:rsidRPr="00654E6C">
        <w:rPr>
          <w:rFonts w:eastAsia="Arial"/>
          <w:lang w:val="nl-NL"/>
        </w:rPr>
        <w:t>.</w:t>
      </w:r>
    </w:p>
    <w:p w:rsidR="00B328B2" w:rsidRDefault="00B328B2" w:rsidP="00B328B2">
      <w:pPr>
        <w:spacing w:after="120"/>
        <w:ind w:firstLine="567"/>
        <w:jc w:val="both"/>
        <w:rPr>
          <w:b/>
        </w:rPr>
      </w:pPr>
      <w:r>
        <w:rPr>
          <w:lang w:val="pl-PL"/>
        </w:rPr>
        <w:t xml:space="preserve">Như vậy, Tổng giá trị dự kiến thu từ bán vốn nhà nước giai đoạn 2021 – 2025 là </w:t>
      </w:r>
      <w:r>
        <w:rPr>
          <w:b/>
          <w:u w:val="single"/>
        </w:rPr>
        <w:t>21.827</w:t>
      </w:r>
      <w:r w:rsidRPr="00150A4C">
        <w:rPr>
          <w:b/>
          <w:u w:val="single"/>
        </w:rPr>
        <w:t xml:space="preserve"> tỷ đồng</w:t>
      </w:r>
      <w:r>
        <w:rPr>
          <w:lang w:val="pl-PL"/>
        </w:rPr>
        <w:t xml:space="preserve"> (bao gồm dự kiến thu từ bán vốn nhà nước giai đoạn 2023 – 2025 là 16.979 tỷ đồng và số thu từ bán vốn nhà nước năm 2021, 2022 </w:t>
      </w:r>
      <w:r w:rsidRPr="007F5440">
        <w:rPr>
          <w:lang w:val="sv-SE"/>
        </w:rPr>
        <w:t>là</w:t>
      </w:r>
      <w:r>
        <w:rPr>
          <w:lang w:val="sv-SE"/>
        </w:rPr>
        <w:t xml:space="preserve"> 4.848 tỷ đồng).</w:t>
      </w:r>
    </w:p>
    <w:p w:rsidR="006C2EF3" w:rsidRPr="002A4895" w:rsidRDefault="00BB71E1" w:rsidP="00FC7389">
      <w:pPr>
        <w:spacing w:before="120" w:after="120"/>
        <w:ind w:firstLine="567"/>
        <w:jc w:val="both"/>
        <w:rPr>
          <w:b/>
        </w:rPr>
      </w:pPr>
      <w:r>
        <w:rPr>
          <w:b/>
        </w:rPr>
        <w:t>6</w:t>
      </w:r>
      <w:r w:rsidR="006C2EF3" w:rsidRPr="002A4895">
        <w:rPr>
          <w:b/>
        </w:rPr>
        <w:t>.</w:t>
      </w:r>
      <w:r w:rsidR="006C2EF3" w:rsidRPr="002A4895">
        <w:t xml:space="preserve"> </w:t>
      </w:r>
      <w:r w:rsidR="006C2EF3" w:rsidRPr="002A4895">
        <w:rPr>
          <w:b/>
          <w:lang w:val="nb-NO"/>
        </w:rPr>
        <w:t>Nhận xét, đánh giá</w:t>
      </w:r>
    </w:p>
    <w:p w:rsidR="006C2EF3" w:rsidRPr="002A4895" w:rsidRDefault="004421E8" w:rsidP="00FC7389">
      <w:pPr>
        <w:tabs>
          <w:tab w:val="left" w:pos="709"/>
        </w:tabs>
        <w:spacing w:before="120" w:after="120"/>
        <w:ind w:firstLine="567"/>
        <w:jc w:val="both"/>
      </w:pPr>
      <w:r w:rsidRPr="002A4895">
        <w:rPr>
          <w:lang w:val="sv-SE"/>
        </w:rPr>
        <w:lastRenderedPageBreak/>
        <w:t>Trong thời gian vừa qua, t</w:t>
      </w:r>
      <w:r w:rsidR="006C2EF3" w:rsidRPr="002A4895">
        <w:rPr>
          <w:lang w:val="sv-SE"/>
        </w:rPr>
        <w:t>iến độ triển khai cổ phần hóa, thoái vốn chậ</w:t>
      </w:r>
      <w:r w:rsidR="00A01A36" w:rsidRPr="002A4895">
        <w:rPr>
          <w:lang w:val="sv-SE"/>
        </w:rPr>
        <w:t xml:space="preserve">m, </w:t>
      </w:r>
      <w:r w:rsidR="007875CE">
        <w:rPr>
          <w:lang w:val="sv-SE"/>
        </w:rPr>
        <w:t xml:space="preserve">có khả năng sẽ không đạt kế hoạch đề ra, </w:t>
      </w:r>
      <w:r w:rsidR="006C2EF3" w:rsidRPr="002A4895">
        <w:t xml:space="preserve">nguyên nhân </w:t>
      </w:r>
      <w:r w:rsidR="00A01A36" w:rsidRPr="002A4895">
        <w:t>do</w:t>
      </w:r>
      <w:r w:rsidR="006C2EF3" w:rsidRPr="002A4895">
        <w:t>:</w:t>
      </w:r>
    </w:p>
    <w:p w:rsidR="005F1947" w:rsidRPr="002A4895" w:rsidRDefault="006C2EF3" w:rsidP="005F1947">
      <w:pPr>
        <w:tabs>
          <w:tab w:val="left" w:pos="709"/>
        </w:tabs>
        <w:spacing w:before="120" w:after="120"/>
        <w:ind w:firstLine="567"/>
        <w:jc w:val="both"/>
        <w:rPr>
          <w:lang w:val="sv-SE"/>
        </w:rPr>
      </w:pPr>
      <w:r w:rsidRPr="002A4895">
        <w:rPr>
          <w:lang w:val="sv-SE"/>
        </w:rPr>
        <w:t>-  Nguyên nhân khách quan:</w:t>
      </w:r>
      <w:r w:rsidR="005F1947">
        <w:rPr>
          <w:lang w:val="sv-SE"/>
        </w:rPr>
        <w:t xml:space="preserve"> </w:t>
      </w:r>
      <w:r w:rsidR="005F1947">
        <w:rPr>
          <w:lang w:val="pl-PL"/>
        </w:rPr>
        <w:t>Do những bất ổn lớn của thị trường tài chính trong nước và quốc tế; ảnh hưởng của dịch bệnh Covid-19</w:t>
      </w:r>
      <w:r w:rsidR="005F1947" w:rsidRPr="005F1947">
        <w:rPr>
          <w:lang w:val="pl-PL"/>
        </w:rPr>
        <w:t xml:space="preserve"> </w:t>
      </w:r>
      <w:r w:rsidR="005F1947">
        <w:rPr>
          <w:lang w:val="pl-PL"/>
        </w:rPr>
        <w:t>nên v</w:t>
      </w:r>
      <w:r w:rsidR="005F1947" w:rsidRPr="002A4895">
        <w:rPr>
          <w:lang w:val="pl-PL"/>
        </w:rPr>
        <w:t>iệc triển khai cổ phần hóa, thoái vốn phụ thuộc vào tình hình thị trường, lựa chọn thời điểm bán cổ phần hợp lý để đem lại hiệu quả, đảm bảo tính khả</w:t>
      </w:r>
      <w:r w:rsidR="005F1947">
        <w:rPr>
          <w:lang w:val="pl-PL"/>
        </w:rPr>
        <w:t xml:space="preserve"> thi; Do đặc thù của các doanh nghiệp thực hiện cổ phần hóa trong giai đoạn này là các doanh nghiệp lớn, phạm vi </w:t>
      </w:r>
      <w:r w:rsidR="005F1947" w:rsidRPr="002A4895">
        <w:rPr>
          <w:lang w:val="sv-SE"/>
        </w:rPr>
        <w:t>hoạt động rộng, đa ngành, đa lĩnh vực, nhiều tài sản chuyên ngành, khó xác định giá trị</w:t>
      </w:r>
      <w:r w:rsidR="005F1947">
        <w:rPr>
          <w:lang w:val="sv-SE"/>
        </w:rPr>
        <w:t xml:space="preserve">, </w:t>
      </w:r>
      <w:r w:rsidR="005F1947" w:rsidRPr="002A4895">
        <w:rPr>
          <w:lang w:val="sv-SE"/>
        </w:rPr>
        <w:t>một số đơn vị vi phạm quy định về quản lý vốn, tài sản đang thực hiện thanh tra, kiểm tra, điề</w:t>
      </w:r>
      <w:r w:rsidR="005F1947">
        <w:rPr>
          <w:lang w:val="sv-SE"/>
        </w:rPr>
        <w:t>u tra; các doanh nghiệp nhỏ và vừa là các đơn vị cung ứng, sản phẩm dịch vụ công ích,</w:t>
      </w:r>
      <w:r w:rsidR="005F1947" w:rsidRPr="005F1947">
        <w:rPr>
          <w:lang w:val="sv-SE"/>
        </w:rPr>
        <w:t xml:space="preserve"> </w:t>
      </w:r>
      <w:r w:rsidR="005F1947" w:rsidRPr="002A4895">
        <w:rPr>
          <w:lang w:val="sv-SE"/>
        </w:rPr>
        <w:t>hoạt động gắn liền với các hoạt động của địa phư</w:t>
      </w:r>
      <w:r w:rsidR="005F1947">
        <w:rPr>
          <w:lang w:val="sv-SE"/>
        </w:rPr>
        <w:t>ơng.</w:t>
      </w:r>
    </w:p>
    <w:p w:rsidR="006C2EF3" w:rsidRDefault="006C2EF3" w:rsidP="00FC7389">
      <w:pPr>
        <w:spacing w:before="120" w:after="120"/>
        <w:ind w:firstLine="567"/>
        <w:jc w:val="both"/>
        <w:rPr>
          <w:lang w:val="nb-NO"/>
        </w:rPr>
      </w:pPr>
      <w:r w:rsidRPr="002A4895">
        <w:rPr>
          <w:lang w:val="pl-PL"/>
        </w:rPr>
        <w:t xml:space="preserve">- Nguyên nhân chủ quan: </w:t>
      </w:r>
      <w:r w:rsidR="005F1947">
        <w:rPr>
          <w:lang w:val="pl-PL"/>
        </w:rPr>
        <w:t>N</w:t>
      </w:r>
      <w:r w:rsidRPr="002A4895">
        <w:rPr>
          <w:lang w:val="vi-VN"/>
        </w:rPr>
        <w:t>hận thức và tổ chức thực hiện</w:t>
      </w:r>
      <w:r w:rsidRPr="002A4895">
        <w:rPr>
          <w:lang w:val="pl-PL"/>
        </w:rPr>
        <w:t xml:space="preserve"> </w:t>
      </w:r>
      <w:r w:rsidRPr="002A4895">
        <w:rPr>
          <w:lang w:val="vi-VN"/>
        </w:rPr>
        <w:t xml:space="preserve">của một số cơ quan đại diện chủ sở hữu và người đứng đầu doanh nghiệp </w:t>
      </w:r>
      <w:r w:rsidRPr="002A4895">
        <w:rPr>
          <w:lang w:val="pl-PL"/>
        </w:rPr>
        <w:t>còn chưa cao, chưa quyết liệt trong tổ chức triển khai, thực hiện c</w:t>
      </w:r>
      <w:r w:rsidRPr="002A4895">
        <w:rPr>
          <w:lang w:val="vi-VN"/>
        </w:rPr>
        <w:t xml:space="preserve">ổ phần hóa, thoái vốn nên còn tư tưởng </w:t>
      </w:r>
      <w:r w:rsidRPr="002A4895">
        <w:rPr>
          <w:lang w:val="pl-PL"/>
        </w:rPr>
        <w:t>né tránh, đùn đẩy trách nhiệ</w:t>
      </w:r>
      <w:r w:rsidR="005F1947">
        <w:rPr>
          <w:lang w:val="pl-PL"/>
        </w:rPr>
        <w:t>m;</w:t>
      </w:r>
      <w:r w:rsidRPr="002A4895">
        <w:rPr>
          <w:lang w:val="pl-PL"/>
        </w:rPr>
        <w:t xml:space="preserve"> Việc rà soát, lập kế hoạch sắp xếp lại doanh nghiệp giai đoạn 2021-2025 chưa được các cơ quan, đơn vị quan tâm đúng mứ</w:t>
      </w:r>
      <w:r w:rsidR="005F1947">
        <w:rPr>
          <w:lang w:val="pl-PL"/>
        </w:rPr>
        <w:t>c;</w:t>
      </w:r>
      <w:r w:rsidRPr="002A4895">
        <w:rPr>
          <w:lang w:val="vi-VN"/>
        </w:rPr>
        <w:t xml:space="preserve"> Công tác chuẩn bị cổ phần hóa, thoái vốn chưa tốt. Nhiều doanh nghiệp chưa hoàn thiện đầy đủ thủ tục pháp lý sắp xếp lại, xử lý</w:t>
      </w:r>
      <w:r w:rsidRPr="002A4895">
        <w:rPr>
          <w:lang w:val="nb-NO"/>
        </w:rPr>
        <w:t xml:space="preserve"> các cơ sở</w:t>
      </w:r>
      <w:r w:rsidRPr="002A4895">
        <w:rPr>
          <w:lang w:val="vi-VN"/>
        </w:rPr>
        <w:t xml:space="preserve"> nhà, đất theo pháp luật về quản lý, sử dụng tài sản công trước khi cổ phần hóa, thoái vốn; còn nhiều vướng mắc, tồn tại về tài chính chưa được xử lý dứt điể</w:t>
      </w:r>
      <w:r w:rsidR="005F1947">
        <w:rPr>
          <w:lang w:val="vi-VN"/>
        </w:rPr>
        <w:t>m</w:t>
      </w:r>
      <w:r w:rsidR="005F1947">
        <w:t>;</w:t>
      </w:r>
      <w:r w:rsidRPr="002A4895">
        <w:rPr>
          <w:lang w:val="nb-NO"/>
        </w:rPr>
        <w:t xml:space="preserve"> Việc phối hợp giữa các cơ quan đại diện chủ sở hữu với các Ủy ban nhân dân tỉnh, thành phố, Bộ, ngành liên quan trong xử lý vướng mắc phê duyệt phương án sử dụng đất; xử lý tồn tại tài chính còn kéo dài.</w:t>
      </w:r>
    </w:p>
    <w:p w:rsidR="006C2EF3" w:rsidRPr="002A4895" w:rsidRDefault="006C2EF3" w:rsidP="00FC7389">
      <w:pPr>
        <w:tabs>
          <w:tab w:val="left" w:pos="709"/>
        </w:tabs>
        <w:spacing w:before="120" w:after="120"/>
        <w:ind w:firstLine="567"/>
        <w:jc w:val="both"/>
        <w:rPr>
          <w:b/>
        </w:rPr>
      </w:pPr>
      <w:r w:rsidRPr="002A4895">
        <w:rPr>
          <w:b/>
        </w:rPr>
        <w:t>III. Giải pháp khắc phục, đổi mới, đẩy nhanh tiến độ cổ phần hóa, thoái vốn trong thời gian tới</w:t>
      </w:r>
    </w:p>
    <w:p w:rsidR="006C2EF3" w:rsidRPr="002A4895" w:rsidRDefault="006C2EF3" w:rsidP="00FC7389">
      <w:pPr>
        <w:tabs>
          <w:tab w:val="left" w:pos="851"/>
          <w:tab w:val="left" w:pos="993"/>
        </w:tabs>
        <w:spacing w:before="120" w:after="120"/>
        <w:ind w:firstLine="567"/>
        <w:jc w:val="both"/>
        <w:rPr>
          <w:b/>
        </w:rPr>
      </w:pPr>
      <w:r w:rsidRPr="002A4895">
        <w:rPr>
          <w:b/>
        </w:rPr>
        <w:t>1. Về hoàn thiện cơ chế, chính sách</w:t>
      </w:r>
    </w:p>
    <w:p w:rsidR="006C2EF3" w:rsidRPr="002A4895" w:rsidRDefault="006C2EF3" w:rsidP="00FC7389">
      <w:pPr>
        <w:spacing w:before="120" w:after="120"/>
        <w:ind w:firstLine="567"/>
        <w:jc w:val="both"/>
      </w:pPr>
      <w:r w:rsidRPr="002A4895">
        <w:t>Trong thời gian tới, c</w:t>
      </w:r>
      <w:r w:rsidRPr="002A4895">
        <w:rPr>
          <w:lang w:val="vi-VN"/>
        </w:rPr>
        <w:t xml:space="preserve">ăn cứ quan điểm, chủ trương của Đảng, Nhà nước và tình hình thực tế, </w:t>
      </w:r>
      <w:r w:rsidRPr="002A4895">
        <w:rPr>
          <w:lang w:val="nl-NL"/>
        </w:rPr>
        <w:t xml:space="preserve">các cơ chế chính sách pháp luật sẽ tiếp tục được rà soát, nghiên cứu, </w:t>
      </w:r>
      <w:r w:rsidRPr="002A4895">
        <w:rPr>
          <w:lang w:val="vi-VN"/>
        </w:rPr>
        <w:t xml:space="preserve">sửa đổi </w:t>
      </w:r>
      <w:r w:rsidRPr="002A4895">
        <w:t xml:space="preserve">một cách </w:t>
      </w:r>
      <w:r w:rsidRPr="002A4895">
        <w:rPr>
          <w:lang w:val="vi-VN"/>
        </w:rPr>
        <w:t>đồng bộ</w:t>
      </w:r>
      <w:r w:rsidRPr="002A4895">
        <w:rPr>
          <w:lang w:val="nl-NL"/>
        </w:rPr>
        <w:t xml:space="preserve"> đảm bảo tháo gỡ khó khăn, vướng mắc và đẩy nhanh tiến độ cổ </w:t>
      </w:r>
      <w:r w:rsidRPr="002A4895">
        <w:rPr>
          <w:lang w:val="vi-VN"/>
        </w:rPr>
        <w:t>phần hóa doanh nghiệp. Trong đó rà soát, nghiên cứu về việc sửa đổi, bổ sung các văn bản quy phạm pháp luật thuộc trách nhiệm soạn thảo của Bộ Tài chính liên quan đến công tác cổ phần hóa, thoái vốn để trình Chính phủ, Thủ tướng Chính phủ xem xét, quyết định.</w:t>
      </w:r>
    </w:p>
    <w:p w:rsidR="006C2EF3" w:rsidRPr="002A4895" w:rsidRDefault="006C2EF3" w:rsidP="00FC7389">
      <w:pPr>
        <w:tabs>
          <w:tab w:val="left" w:pos="709"/>
        </w:tabs>
        <w:spacing w:before="120" w:after="120"/>
        <w:ind w:firstLine="567"/>
        <w:jc w:val="both"/>
        <w:rPr>
          <w:lang w:val="pl-PL"/>
        </w:rPr>
      </w:pPr>
      <w:r w:rsidRPr="002A4895">
        <w:rPr>
          <w:b/>
          <w:lang w:val="pl-PL"/>
        </w:rPr>
        <w:t>2.</w:t>
      </w:r>
      <w:r w:rsidRPr="002A4895">
        <w:rPr>
          <w:lang w:val="pl-PL"/>
        </w:rPr>
        <w:t xml:space="preserve"> </w:t>
      </w:r>
      <w:r w:rsidRPr="002A4895">
        <w:rPr>
          <w:b/>
          <w:lang w:val="nl-NL"/>
        </w:rPr>
        <w:t>Về việc tổ chức triển khai thực hiện</w:t>
      </w:r>
    </w:p>
    <w:p w:rsidR="006C2EF3" w:rsidRDefault="006C2EF3" w:rsidP="00FC7389">
      <w:pPr>
        <w:tabs>
          <w:tab w:val="left" w:pos="709"/>
          <w:tab w:val="left" w:pos="851"/>
          <w:tab w:val="left" w:pos="993"/>
        </w:tabs>
        <w:spacing w:before="120" w:after="120"/>
        <w:ind w:firstLine="567"/>
        <w:jc w:val="both"/>
        <w:rPr>
          <w:lang w:val="nl-NL"/>
        </w:rPr>
      </w:pPr>
      <w:r w:rsidRPr="002A4895">
        <w:rPr>
          <w:lang w:val="nl-NL"/>
        </w:rPr>
        <w:t xml:space="preserve">- Các Bộ, ngành, địa phương, DNNN theo chức năng, nhiệm vụ được giao nghiêm túc thực hiện </w:t>
      </w:r>
      <w:r w:rsidR="00912967" w:rsidRPr="002A4895">
        <w:rPr>
          <w:lang w:val="nl-NL"/>
        </w:rPr>
        <w:t xml:space="preserve">chỉ đạo của Chính phủ, Thủ tướng Chính phủ tại </w:t>
      </w:r>
      <w:r w:rsidRPr="002A4895">
        <w:rPr>
          <w:lang w:val="nl-NL"/>
        </w:rPr>
        <w:t>Nghị quyết số 68/NQ-CP ngày 12/5/2022 về tiếp tục đổi mới, nâng cao hiệu quả hoạt động và huy động nguồn lực của DNNN, trọng tâm là tập đoàn kinh tế, tổng công ty nhà nước trong phát triển kinh tế - xã hội, Quyết định số </w:t>
      </w:r>
      <w:hyperlink r:id="rId8" w:tgtFrame="_blank" w:tooltip="Quyết định 360/QĐ-TTg" w:history="1">
        <w:r w:rsidRPr="002A4895">
          <w:rPr>
            <w:lang w:val="nl-NL"/>
          </w:rPr>
          <w:t>360/QĐ-TTg</w:t>
        </w:r>
      </w:hyperlink>
      <w:r w:rsidRPr="002A4895">
        <w:rPr>
          <w:lang w:val="nl-NL"/>
        </w:rPr>
        <w:t xml:space="preserve"> ngày 17/3/2022 phê duyệt Đề án “Cơ cấu lại DNNN, trọng tâm là tập đoàn </w:t>
      </w:r>
      <w:r w:rsidRPr="002A4895">
        <w:rPr>
          <w:lang w:val="nl-NL"/>
        </w:rPr>
        <w:lastRenderedPageBreak/>
        <w:t>kinh tế, tổng công ty nhà nước giai đoạn 2021 - 2025”, Quyết định số </w:t>
      </w:r>
      <w:hyperlink r:id="rId9" w:tgtFrame="_blank" w:tooltip="Quyết định 22/2021/QĐ-TTg" w:history="1">
        <w:r w:rsidRPr="002A4895">
          <w:rPr>
            <w:lang w:val="nl-NL"/>
          </w:rPr>
          <w:t>22/2021/QĐ-TTg</w:t>
        </w:r>
      </w:hyperlink>
      <w:r w:rsidRPr="002A4895">
        <w:rPr>
          <w:lang w:val="nl-NL"/>
        </w:rPr>
        <w:t xml:space="preserve"> ngày 02/7/2021 về “Tiêu chí phân loại DNNN, doanh nghiệp có vốn nhà nước thực hiện chuyển đổi sở hữu, sắp xếp lại, thoái vốn giai đoạn 2021 - 2025”, Công điện số 478/CĐ-TTg ngày 27/5/2022 </w:t>
      </w:r>
      <w:r w:rsidRPr="002A4895">
        <w:rPr>
          <w:lang w:val="vi-VN"/>
        </w:rPr>
        <w:t xml:space="preserve">về đẩy mạnh công tác sắp xếp, cổ phần hóa, thoái vốn và cơ cấu lại </w:t>
      </w:r>
      <w:r w:rsidRPr="002A4895">
        <w:rPr>
          <w:lang w:val="nl-NL"/>
        </w:rPr>
        <w:t xml:space="preserve">DNNN và </w:t>
      </w:r>
      <w:r w:rsidR="000B78E5" w:rsidRPr="002A4895">
        <w:rPr>
          <w:lang w:val="nl-NL"/>
        </w:rPr>
        <w:t xml:space="preserve">Quyết định số 1479/QĐ-TTg ngày 29/11/2022 ban hành </w:t>
      </w:r>
      <w:r w:rsidRPr="002A4895">
        <w:rPr>
          <w:lang w:val="nl-NL"/>
        </w:rPr>
        <w:t>Kế hoạch sắp xếp lại doanh nghiệp giai đoạ</w:t>
      </w:r>
      <w:r w:rsidR="00E33278" w:rsidRPr="002A4895">
        <w:rPr>
          <w:lang w:val="nl-NL"/>
        </w:rPr>
        <w:t>n 2021 – 2025</w:t>
      </w:r>
      <w:r w:rsidRPr="002A4895">
        <w:rPr>
          <w:lang w:val="nl-NL"/>
        </w:rPr>
        <w:t>.</w:t>
      </w:r>
    </w:p>
    <w:p w:rsidR="00BD7DA0" w:rsidRDefault="00BD7DA0" w:rsidP="00FC7389">
      <w:pPr>
        <w:tabs>
          <w:tab w:val="left" w:pos="709"/>
          <w:tab w:val="left" w:pos="851"/>
          <w:tab w:val="left" w:pos="993"/>
        </w:tabs>
        <w:spacing w:before="120" w:after="120"/>
        <w:ind w:firstLine="567"/>
        <w:jc w:val="both"/>
      </w:pPr>
      <w:r>
        <w:rPr>
          <w:lang w:val="nl-NL"/>
        </w:rPr>
        <w:t xml:space="preserve">- Trình Thủ tướng Chính phủ, Chính phủ báo cáo Quốc hội </w:t>
      </w:r>
      <w:r w:rsidRPr="002446EE">
        <w:t>điều chỉnh giảm dự toán kế hoạch chi đầu tư</w:t>
      </w:r>
      <w:r>
        <w:t xml:space="preserve"> phát triển nguồn NSNN đối với nội dung thu -</w:t>
      </w:r>
      <w:r w:rsidRPr="002446EE">
        <w:t xml:space="preserve"> chi từ nguồn cổ phầ</w:t>
      </w:r>
      <w:r>
        <w:t>n hóa, thoái vốn nhà nước</w:t>
      </w:r>
      <w:r w:rsidR="007875CE">
        <w:t>.</w:t>
      </w:r>
      <w:r>
        <w:t xml:space="preserve"> </w:t>
      </w:r>
    </w:p>
    <w:p w:rsidR="006C2EF3" w:rsidRPr="002A4895" w:rsidRDefault="006C2EF3" w:rsidP="00FC7389">
      <w:pPr>
        <w:tabs>
          <w:tab w:val="left" w:pos="709"/>
          <w:tab w:val="left" w:pos="851"/>
          <w:tab w:val="left" w:pos="993"/>
        </w:tabs>
        <w:spacing w:before="120" w:after="120"/>
        <w:ind w:firstLine="567"/>
        <w:jc w:val="both"/>
        <w:rPr>
          <w:lang w:val="nl-NL"/>
        </w:rPr>
      </w:pPr>
      <w:r w:rsidRPr="002A4895">
        <w:rPr>
          <w:noProof/>
          <w:lang w:val="nl-NL"/>
        </w:rPr>
        <w:t xml:space="preserve">- Cơ quan đại diện chủ sở hữu </w:t>
      </w:r>
      <w:r w:rsidRPr="002A4895">
        <w:rPr>
          <w:lang w:val="nl-NL"/>
        </w:rPr>
        <w:t>đôn đốc các doanh nghiệp trực tiếp quản lý, sử dụng nhà đất kê khai báo cáo, lập phương án sắp xếp lại các cơ sở nhà, đất theo quy định tại Nghị định số 167/2017/NĐ-CP, Nghị định số 67/2021/NĐ-CP để trình cấp có thẩm quyền phê duyệt theo thẩm quyền</w:t>
      </w:r>
      <w:r w:rsidRPr="002A4895">
        <w:rPr>
          <w:lang w:val="pl-PL"/>
        </w:rPr>
        <w:t>.</w:t>
      </w:r>
    </w:p>
    <w:p w:rsidR="006C2EF3" w:rsidRPr="002A4895" w:rsidRDefault="006C2EF3" w:rsidP="00FC7389">
      <w:pPr>
        <w:tabs>
          <w:tab w:val="left" w:pos="709"/>
          <w:tab w:val="left" w:pos="851"/>
          <w:tab w:val="left" w:pos="993"/>
        </w:tabs>
        <w:spacing w:before="120" w:after="120"/>
        <w:ind w:firstLine="567"/>
        <w:jc w:val="both"/>
        <w:rPr>
          <w:lang w:val="nl-NL"/>
        </w:rPr>
      </w:pPr>
      <w:r w:rsidRPr="002A4895">
        <w:rPr>
          <w:lang w:val="nl-NL"/>
        </w:rPr>
        <w:t>- Ủy ban nhân dân các tỉnh, thành phố trực thuộc trung ương sớm có ý kiến về phương án sắp xếp lại, xử lý nhà, đất của các doanh nghiệp của trung ương đóng trên địa bàn theo đề nghị của Bộ Tài chính, các Bộ, cơ quan trung ương để bảo đảm tiến độ phê duyệt phương án sắp xếp lại, xử lý nhà, đất phục vụ việc xây dựng phương án sử dụng đất khi thực hiện cổ phần hoá.</w:t>
      </w:r>
    </w:p>
    <w:p w:rsidR="006C2EF3" w:rsidRPr="002A4895" w:rsidRDefault="006C2EF3" w:rsidP="00FC7389">
      <w:pPr>
        <w:tabs>
          <w:tab w:val="left" w:pos="709"/>
          <w:tab w:val="left" w:pos="851"/>
          <w:tab w:val="left" w:pos="993"/>
        </w:tabs>
        <w:spacing w:before="120" w:after="120"/>
        <w:ind w:firstLine="567"/>
        <w:jc w:val="both"/>
        <w:rPr>
          <w:lang w:val="nl-NL"/>
        </w:rPr>
      </w:pPr>
      <w:r w:rsidRPr="002A4895">
        <w:rPr>
          <w:lang w:val="nl-NL"/>
        </w:rPr>
        <w:t>- Xây dựng cơ sở dữ liệu để theo dõi, quản lý tiến độ kê khai, báo cáo, lập, phê duyệt phương án sắp xếp lại, xử lý nhà, đất và tổ chức xử lý nhà, đất đã được cấp có thẩm quyền phê duyệt.</w:t>
      </w:r>
    </w:p>
    <w:p w:rsidR="006C2EF3" w:rsidRPr="002A4895" w:rsidRDefault="006C2EF3" w:rsidP="00FC7389">
      <w:pPr>
        <w:tabs>
          <w:tab w:val="left" w:pos="709"/>
          <w:tab w:val="left" w:pos="851"/>
          <w:tab w:val="left" w:pos="993"/>
        </w:tabs>
        <w:spacing w:before="120" w:after="120"/>
        <w:ind w:firstLine="567"/>
        <w:jc w:val="both"/>
        <w:rPr>
          <w:lang w:val="pl-PL"/>
        </w:rPr>
      </w:pPr>
      <w:r w:rsidRPr="002A4895">
        <w:rPr>
          <w:lang w:val="pl-PL"/>
        </w:rPr>
        <w:t>- Xử lý nghiêm trường hợp làm chậm, vi phạm quy định về cổ phần hóa, thoái vốn nhà nước tại doanh nghiệp. Xác định rõ trách nhiệm của tổ chức, cá nhân liên quan, nhất là người đứng đầu trong công tác sắp xếp, cổ phần hóa, thoái vốn, cơ cấu lại DNNN, thực hiện các nhiệm vụ, công việc liên quan; coi việc thực hiện nhiệm vụ và kết quả thực hiện sắp xếp, cổ phần hóa, thoái vốn, cơ cấu lại DNNN là một tiêu chí đánh giá các cơ quan, đơn vị tập thể, cá nhân liên quan.</w:t>
      </w:r>
      <w:bookmarkStart w:id="0" w:name="_GoBack"/>
      <w:bookmarkEnd w:id="0"/>
    </w:p>
    <w:p w:rsidR="006C2EF3" w:rsidRPr="002A4895" w:rsidRDefault="006C2EF3" w:rsidP="00FC7389">
      <w:pPr>
        <w:tabs>
          <w:tab w:val="left" w:pos="709"/>
          <w:tab w:val="left" w:pos="851"/>
          <w:tab w:val="left" w:pos="993"/>
        </w:tabs>
        <w:spacing w:before="120" w:after="120"/>
        <w:ind w:firstLine="567"/>
        <w:jc w:val="both"/>
        <w:rPr>
          <w:lang w:val="pl-PL"/>
        </w:rPr>
      </w:pPr>
      <w:r w:rsidRPr="002A4895">
        <w:rPr>
          <w:lang w:val="pl-PL"/>
        </w:rPr>
        <w:t>- Tăng cường công khai, minh bạch thông tin về tình hình tài chính, hoạt động sản xuất kinh doanh của DNNN để tạo niềm tin, thu hút sự quan tâm của các nhà đầu tư trước khi triển khai công tác cổ phần hóa, thoái vốn.</w:t>
      </w:r>
    </w:p>
    <w:p w:rsidR="00F752FF" w:rsidRDefault="006C2EF3" w:rsidP="007875CE">
      <w:pPr>
        <w:tabs>
          <w:tab w:val="left" w:pos="1185"/>
        </w:tabs>
        <w:spacing w:before="120" w:after="120"/>
        <w:ind w:firstLine="567"/>
      </w:pPr>
      <w:r w:rsidRPr="002A4895">
        <w:rPr>
          <w:lang w:val="pl-PL"/>
        </w:rPr>
        <w:t>- Tăng cường công tác kiểm tra, giám sát việc tổ chức thực hiện, việc tháo gỡ khó khăn cho doanh nghiệp</w:t>
      </w:r>
      <w:r w:rsidR="000211CA">
        <w:t>.</w:t>
      </w:r>
      <w:r w:rsidR="00D53563">
        <w:t>/.</w:t>
      </w:r>
    </w:p>
    <w:sectPr w:rsidR="00F752FF" w:rsidSect="007875CE">
      <w:headerReference w:type="default" r:id="rId10"/>
      <w:footerReference w:type="even" r:id="rId11"/>
      <w:footerReference w:type="default" r:id="rId12"/>
      <w:headerReference w:type="first" r:id="rId13"/>
      <w:pgSz w:w="11906" w:h="16838" w:code="9"/>
      <w:pgMar w:top="1134" w:right="1134" w:bottom="1134" w:left="1701" w:header="709" w:footer="9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ADC" w:rsidRDefault="00793ADC" w:rsidP="005F3C88">
      <w:r>
        <w:separator/>
      </w:r>
    </w:p>
  </w:endnote>
  <w:endnote w:type="continuationSeparator" w:id="0">
    <w:p w:rsidR="00793ADC" w:rsidRDefault="00793ADC" w:rsidP="005F3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06" w:rsidRDefault="006D530C">
    <w:pPr>
      <w:pStyle w:val="Footer"/>
      <w:framePr w:wrap="around" w:vAnchor="text" w:hAnchor="margin" w:xAlign="right" w:y="1"/>
      <w:rPr>
        <w:rStyle w:val="PageNumber"/>
      </w:rPr>
    </w:pPr>
    <w:r>
      <w:rPr>
        <w:rStyle w:val="PageNumber"/>
      </w:rPr>
      <w:fldChar w:fldCharType="begin"/>
    </w:r>
    <w:r w:rsidR="00DF5106">
      <w:rPr>
        <w:rStyle w:val="PageNumber"/>
      </w:rPr>
      <w:instrText xml:space="preserve">PAGE  </w:instrText>
    </w:r>
    <w:r>
      <w:rPr>
        <w:rStyle w:val="PageNumber"/>
      </w:rPr>
      <w:fldChar w:fldCharType="end"/>
    </w:r>
  </w:p>
  <w:p w:rsidR="00DF5106" w:rsidRDefault="00DF51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06" w:rsidRDefault="00DF5106">
    <w:pPr>
      <w:pStyle w:val="Footer"/>
      <w:jc w:val="right"/>
    </w:pPr>
  </w:p>
  <w:p w:rsidR="00DF5106" w:rsidRPr="00CB616F" w:rsidRDefault="00DF5106" w:rsidP="00837F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ADC" w:rsidRDefault="00793ADC" w:rsidP="005F3C88">
      <w:r>
        <w:separator/>
      </w:r>
    </w:p>
  </w:footnote>
  <w:footnote w:type="continuationSeparator" w:id="0">
    <w:p w:rsidR="00793ADC" w:rsidRDefault="00793ADC" w:rsidP="005F3C88">
      <w:r>
        <w:continuationSeparator/>
      </w:r>
    </w:p>
  </w:footnote>
  <w:footnote w:id="1">
    <w:p w:rsidR="00DF5106" w:rsidRPr="005F1947" w:rsidRDefault="00DF5106" w:rsidP="001B15B1">
      <w:pPr>
        <w:tabs>
          <w:tab w:val="left" w:pos="709"/>
        </w:tabs>
        <w:spacing w:before="120" w:after="120"/>
        <w:ind w:firstLine="567"/>
        <w:jc w:val="both"/>
        <w:rPr>
          <w:sz w:val="20"/>
          <w:szCs w:val="20"/>
        </w:rPr>
      </w:pPr>
      <w:r>
        <w:rPr>
          <w:rStyle w:val="FootnoteReference"/>
        </w:rPr>
        <w:footnoteRef/>
      </w:r>
      <w:r w:rsidRPr="005F1947">
        <w:rPr>
          <w:sz w:val="20"/>
          <w:szCs w:val="20"/>
          <w:lang w:val="da-DK"/>
        </w:rPr>
        <w:t>- Bộ Tài chính đã trình Chính phủ ban hành Nghị định số 148/2021/NĐ-CP ngày 31/12/2021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p w:rsidR="00DF5106" w:rsidRPr="005F1947" w:rsidRDefault="00DF5106" w:rsidP="001B15B1">
      <w:pPr>
        <w:tabs>
          <w:tab w:val="left" w:pos="0"/>
          <w:tab w:val="left" w:pos="709"/>
        </w:tabs>
        <w:spacing w:before="120" w:after="120"/>
        <w:ind w:firstLine="567"/>
        <w:jc w:val="both"/>
        <w:rPr>
          <w:sz w:val="20"/>
          <w:szCs w:val="20"/>
          <w:lang w:val="vi-VN"/>
        </w:rPr>
      </w:pPr>
      <w:r w:rsidRPr="005F1947">
        <w:rPr>
          <w:sz w:val="20"/>
          <w:szCs w:val="20"/>
        </w:rPr>
        <w:t xml:space="preserve">- </w:t>
      </w:r>
      <w:r w:rsidRPr="005F1947">
        <w:rPr>
          <w:sz w:val="20"/>
          <w:szCs w:val="20"/>
          <w:lang w:val="da-DK"/>
        </w:rPr>
        <w:t>Bộ Tài chính đã t</w:t>
      </w:r>
      <w:r w:rsidRPr="005F1947">
        <w:rPr>
          <w:sz w:val="20"/>
          <w:szCs w:val="20"/>
        </w:rPr>
        <w:t>r</w:t>
      </w:r>
      <w:r w:rsidRPr="005F1947">
        <w:rPr>
          <w:sz w:val="20"/>
          <w:szCs w:val="20"/>
          <w:lang w:val="vi-VN"/>
        </w:rPr>
        <w:t xml:space="preserve">ình Thủ tướng Chính phủ ban hành Quyết định số </w:t>
      </w:r>
      <w:r w:rsidRPr="005F1947">
        <w:rPr>
          <w:sz w:val="20"/>
          <w:szCs w:val="20"/>
        </w:rPr>
        <w:t>360/QĐ-TTg ngày 17</w:t>
      </w:r>
      <w:r w:rsidRPr="005F1947">
        <w:rPr>
          <w:sz w:val="20"/>
          <w:szCs w:val="20"/>
          <w:lang w:val="vi-VN"/>
        </w:rPr>
        <w:t>/</w:t>
      </w:r>
      <w:r w:rsidRPr="005F1947">
        <w:rPr>
          <w:sz w:val="20"/>
          <w:szCs w:val="20"/>
        </w:rPr>
        <w:t>3</w:t>
      </w:r>
      <w:r w:rsidRPr="005F1947">
        <w:rPr>
          <w:sz w:val="20"/>
          <w:szCs w:val="20"/>
          <w:lang w:val="vi-VN"/>
        </w:rPr>
        <w:t>/</w:t>
      </w:r>
      <w:r w:rsidRPr="005F1947">
        <w:rPr>
          <w:sz w:val="20"/>
          <w:szCs w:val="20"/>
        </w:rPr>
        <w:t xml:space="preserve">2022 phê duyệt Đề án “Cơ cấu lại doanh nghiệp nhà nước, trọng tâm là tập đoàn kinh tế, tổng công ty nhà nước giai đoạn 2021-2025”. </w:t>
      </w:r>
    </w:p>
    <w:p w:rsidR="00DF5106" w:rsidRPr="005F1947" w:rsidRDefault="00DF5106" w:rsidP="001B15B1">
      <w:pPr>
        <w:tabs>
          <w:tab w:val="left" w:pos="709"/>
        </w:tabs>
        <w:spacing w:before="120" w:after="120"/>
        <w:ind w:firstLine="567"/>
        <w:jc w:val="both"/>
        <w:rPr>
          <w:sz w:val="20"/>
          <w:szCs w:val="20"/>
          <w:lang w:val="pl-PL"/>
        </w:rPr>
      </w:pPr>
      <w:r w:rsidRPr="005F1947">
        <w:rPr>
          <w:sz w:val="20"/>
          <w:szCs w:val="20"/>
          <w:lang w:val="pl-PL"/>
        </w:rPr>
        <w:t xml:space="preserve">- </w:t>
      </w:r>
      <w:r w:rsidRPr="005F1947">
        <w:rPr>
          <w:sz w:val="20"/>
          <w:szCs w:val="20"/>
          <w:lang w:val="da-DK"/>
        </w:rPr>
        <w:t>Bộ Tài chính đã b</w:t>
      </w:r>
      <w:r w:rsidRPr="005F1947">
        <w:rPr>
          <w:noProof/>
          <w:sz w:val="20"/>
          <w:szCs w:val="20"/>
        </w:rPr>
        <w:t>an hành 05 Thông tư bao gồm: Thông tư số 119/2021/TT-BTC ngày 23/12/2021 sửa đổi, bổ sung Thông tư số 83/2018/TT-BTC ngày 30/8/2018 hướng dẫn việc chuyển giao quyền đại diện chủ sở hữu nhà nước tại SCIC; Thông tư số 05/2022/TT-BTC ngày 08/02/2022 hướng dẫn tái cơ cấu doanh nghiệp không đủ điều kiện cổ phần hóa và chuyển nhượng lô cổ phần kèm nợ phải thu của doanh nghiệp do Nhà nước nắm giữ 100% vốn điều lệ có chức năng mua, bán, xử lý nợ; Thông tư số 07/2022/TT-BTC ngày 09/02/2022</w:t>
      </w:r>
      <w:r w:rsidRPr="005F1947">
        <w:rPr>
          <w:sz w:val="20"/>
          <w:szCs w:val="20"/>
          <w:lang w:val="pl-PL"/>
        </w:rPr>
        <w:t xml:space="preserve"> hướng dẫn bàn giao, tiếp nhận, xử lý các khoản nợ và tài sản loại trừ khi chuyển đổi sở hữu doanh nghiệp, đơn vị sự nghiệp công lập và theo chỉ đạo của Chính phủ, Thủ tướng Chính phủ và </w:t>
      </w:r>
      <w:r w:rsidRPr="005F1947">
        <w:rPr>
          <w:sz w:val="20"/>
          <w:szCs w:val="20"/>
        </w:rPr>
        <w:t>Thông tư số 57/2022/TT-BTC ngày 16/9/2022 hướng dẫn một số điều của Nghị định số 148/2021/NĐ-CP; Thông tư số 16/2023/TT-BTC ngày 17/03/2023 sửa đổi, bổ sung một số điều của Thông tư số 36/2021/TT-BTC ngày 26/5/2021 hướng dẫn một số nội dung về đầu tư vốn nhà nước tại doanh nghiệp và quản lý, sử dụng vốn, tài sản tại doanh nghiệp quy định tại Nghị định số 91/2015/NĐ-CP, Nghị định số 32/2018/NĐ-CP, Nghị định số 121/2020/NĐ-CP và Nghị định số 140/2020/NĐ-CP ngày 30/11/2020.</w:t>
      </w:r>
    </w:p>
    <w:p w:rsidR="00DF5106" w:rsidRPr="005F1947" w:rsidRDefault="00DF5106" w:rsidP="001B15B1">
      <w:pPr>
        <w:tabs>
          <w:tab w:val="left" w:pos="709"/>
        </w:tabs>
        <w:spacing w:before="120" w:after="120"/>
        <w:ind w:firstLine="567"/>
        <w:jc w:val="both"/>
        <w:rPr>
          <w:sz w:val="20"/>
          <w:szCs w:val="20"/>
          <w:lang w:val="pl-PL"/>
        </w:rPr>
      </w:pPr>
      <w:r w:rsidRPr="005F1947">
        <w:rPr>
          <w:sz w:val="20"/>
          <w:szCs w:val="20"/>
          <w:lang w:val="pl-PL"/>
        </w:rPr>
        <w:t>- Hiện nay, Bộ Tài chính đang rà soát, tổng kết và đề xuất sửa đổi, bổ sung một số cơ chế chính sách pháp luật như:</w:t>
      </w:r>
    </w:p>
    <w:p w:rsidR="00B328B2" w:rsidRDefault="007875CE" w:rsidP="00B328B2">
      <w:pPr>
        <w:tabs>
          <w:tab w:val="left" w:pos="709"/>
        </w:tabs>
        <w:ind w:firstLine="567"/>
        <w:jc w:val="both"/>
        <w:rPr>
          <w:sz w:val="20"/>
          <w:szCs w:val="20"/>
        </w:rPr>
      </w:pPr>
      <w:r>
        <w:rPr>
          <w:sz w:val="20"/>
          <w:szCs w:val="20"/>
          <w:lang w:val="pl-PL"/>
        </w:rPr>
        <w:t>+</w:t>
      </w:r>
      <w:r w:rsidR="00B328B2">
        <w:rPr>
          <w:sz w:val="20"/>
          <w:szCs w:val="20"/>
          <w:lang w:val="pl-PL"/>
        </w:rPr>
        <w:t xml:space="preserve"> </w:t>
      </w:r>
      <w:r w:rsidR="00B328B2">
        <w:rPr>
          <w:sz w:val="20"/>
          <w:szCs w:val="20"/>
        </w:rPr>
        <w:t>Ngày 31/7/2023, Bộ Tài chính đã có công văn số 8072/BTC-TCDN báo cáo Thủ tướng Chính phủ và công văn số 9221/BTC-TCDN ngày 29/8/2023 lấy ý kiến rộng rãi các cơ quan, đơn vị, doanh nghiệp và các tổ chức liên quan</w:t>
      </w:r>
      <w:r w:rsidR="00B328B2" w:rsidRPr="00BD6127">
        <w:rPr>
          <w:sz w:val="20"/>
          <w:szCs w:val="20"/>
        </w:rPr>
        <w:t xml:space="preserve"> </w:t>
      </w:r>
      <w:r w:rsidR="00B328B2">
        <w:rPr>
          <w:sz w:val="20"/>
          <w:szCs w:val="20"/>
        </w:rPr>
        <w:t xml:space="preserve">về </w:t>
      </w:r>
      <w:r w:rsidR="00B328B2" w:rsidRPr="004028A1">
        <w:rPr>
          <w:sz w:val="20"/>
          <w:szCs w:val="20"/>
        </w:rPr>
        <w:t>Hồ sơ dự án Luật Quản lý, sử dụng vốn nhà nước đầu tư vào sản xuất kinh doanh tại doanh nghiệp (sửa đổi</w:t>
      </w:r>
      <w:r w:rsidR="00B328B2">
        <w:rPr>
          <w:sz w:val="20"/>
          <w:szCs w:val="20"/>
        </w:rPr>
        <w:t>).</w:t>
      </w:r>
    </w:p>
    <w:p w:rsidR="00DF5106" w:rsidRDefault="00DF5106" w:rsidP="00490775">
      <w:pPr>
        <w:spacing w:before="120" w:after="120"/>
        <w:ind w:firstLine="567"/>
        <w:jc w:val="both"/>
        <w:rPr>
          <w:sz w:val="20"/>
          <w:szCs w:val="20"/>
        </w:rPr>
      </w:pPr>
      <w:r w:rsidRPr="005F1947">
        <w:rPr>
          <w:sz w:val="20"/>
          <w:szCs w:val="20"/>
        </w:rPr>
        <w:t>+ Việc sửa đổi, bổ sung các quy định tại Nghị định số </w:t>
      </w:r>
      <w:hyperlink r:id="rId1" w:tgtFrame="_blank" w:tooltip="Nghị định 126/2017/NĐ-CP" w:history="1">
        <w:r w:rsidRPr="005F1947">
          <w:rPr>
            <w:sz w:val="20"/>
            <w:szCs w:val="20"/>
          </w:rPr>
          <w:t>126/2017/NĐ-CP</w:t>
        </w:r>
      </w:hyperlink>
      <w:r w:rsidRPr="005F1947">
        <w:rPr>
          <w:sz w:val="20"/>
          <w:szCs w:val="20"/>
        </w:rPr>
        <w:t>, Nghị định số </w:t>
      </w:r>
      <w:hyperlink r:id="rId2" w:tgtFrame="_blank" w:tooltip="Nghị định 91/2015/NĐ-CP" w:history="1">
        <w:r w:rsidRPr="005F1947">
          <w:rPr>
            <w:sz w:val="20"/>
            <w:szCs w:val="20"/>
          </w:rPr>
          <w:t>91/2015/NĐ-CP</w:t>
        </w:r>
      </w:hyperlink>
      <w:r w:rsidRPr="005F1947">
        <w:rPr>
          <w:sz w:val="20"/>
          <w:szCs w:val="20"/>
        </w:rPr>
        <w:t>, Nghị định số </w:t>
      </w:r>
      <w:hyperlink r:id="rId3" w:tgtFrame="_blank" w:tooltip="Nghị định 32/2018/NĐ-CP" w:history="1">
        <w:r w:rsidRPr="005F1947">
          <w:rPr>
            <w:sz w:val="20"/>
            <w:szCs w:val="20"/>
          </w:rPr>
          <w:t>32/2018/NĐ-CP</w:t>
        </w:r>
      </w:hyperlink>
      <w:r w:rsidRPr="005F1947">
        <w:rPr>
          <w:sz w:val="20"/>
          <w:szCs w:val="20"/>
        </w:rPr>
        <w:t xml:space="preserve">, Nghị định số 140/2020/NĐ-CP: Ngày 23/02/2023, Bộ Tài chính đã có Tờ trình số 17/TTr-BTC báo cáo Thủ tướng Chính phủ trong đó kiến nghị cho phép Bộ Tài chính xây dựng Nghị định sửa đổi các Nghị định trên theo trình tự, thủ tục rút gọn. </w:t>
      </w:r>
      <w:r w:rsidR="00B41070">
        <w:rPr>
          <w:sz w:val="20"/>
          <w:szCs w:val="20"/>
        </w:rPr>
        <w:t>VPCP có công văn số 4083/VPCP-ĐMDN ngày 04/6/2023 yêu cầu Bộ Tài chính tiếp thu ý kiến của Bộ Tư pháp, Bộ KHĐT để hoàn thiện, trình Chính phủ trước 20/10/2023. Hiện nay, Cục TCDN đang tổng hợp, lấy ý kiến Vụ Pháp chế để trình Bộ trình Thủ tướng Chính phủ về việc xây dựng Nghị định.</w:t>
      </w:r>
    </w:p>
    <w:p w:rsidR="00DF5106" w:rsidRDefault="00DF5106" w:rsidP="00490775">
      <w:pPr>
        <w:spacing w:before="120" w:after="120"/>
        <w:ind w:firstLine="567"/>
        <w:jc w:val="both"/>
      </w:pPr>
      <w:r>
        <w:rPr>
          <w:sz w:val="20"/>
          <w:szCs w:val="20"/>
        </w:rPr>
        <w:t xml:space="preserve">+ Việc sửa đổi, bổ sung Nghị định số 148/2017/NĐ-CP ngày 25/12/2017 của Chính phủ ban hành Điều lệ tổ chức và hoạt động của SCIC: Ngày 26/5/2023, Bộ Tài chính đã có công văn số 5402/BTC-TCDN lấy ý kiến các thành viên Ban soạn thảo về nội dung dự thảo Nghị định. </w:t>
      </w:r>
      <w:r w:rsidR="000107EC">
        <w:rPr>
          <w:sz w:val="20"/>
          <w:szCs w:val="20"/>
        </w:rPr>
        <w:t xml:space="preserve">Cục TCDN đã hoàn thiện dự thảo Nghị định, dự thảo Tờ trình Chính phủ và báo cáo Bộ tại Tờ trình số 685/TTr-TCDN ngày 10/8/2023 cho phép lấy ý kiến rộng rãi dự thảo Nghị định. Dự kiến trình </w:t>
      </w:r>
      <w:r>
        <w:rPr>
          <w:sz w:val="20"/>
          <w:szCs w:val="20"/>
        </w:rPr>
        <w:t>Chính phủ tháng 12/2023).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475269"/>
      <w:docPartObj>
        <w:docPartGallery w:val="Page Numbers (Top of Page)"/>
        <w:docPartUnique/>
      </w:docPartObj>
    </w:sdtPr>
    <w:sdtContent>
      <w:p w:rsidR="00DF5106" w:rsidRDefault="006D530C">
        <w:pPr>
          <w:pStyle w:val="Header"/>
          <w:jc w:val="center"/>
        </w:pPr>
        <w:fldSimple w:instr=" PAGE   \* MERGEFORMAT ">
          <w:r w:rsidR="006061AA">
            <w:rPr>
              <w:noProof/>
            </w:rPr>
            <w:t>2</w:t>
          </w:r>
        </w:fldSimple>
      </w:p>
    </w:sdtContent>
  </w:sdt>
  <w:p w:rsidR="00DF5106" w:rsidRDefault="00DF51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06" w:rsidRDefault="00DF5106">
    <w:pPr>
      <w:pStyle w:val="Header"/>
      <w:jc w:val="center"/>
    </w:pPr>
  </w:p>
  <w:p w:rsidR="00DF5106" w:rsidRDefault="00DF5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82F6E"/>
    <w:multiLevelType w:val="hybridMultilevel"/>
    <w:tmpl w:val="F6CA370E"/>
    <w:lvl w:ilvl="0" w:tplc="93468E48">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DE8320B"/>
    <w:multiLevelType w:val="hybridMultilevel"/>
    <w:tmpl w:val="2F2873E8"/>
    <w:lvl w:ilvl="0" w:tplc="0F96415E">
      <w:start w:val="1"/>
      <w:numFmt w:val="bullet"/>
      <w:lvlText w:val=""/>
      <w:lvlJc w:val="left"/>
      <w:pPr>
        <w:ind w:left="777" w:hanging="360"/>
      </w:pPr>
      <w:rPr>
        <w:rFonts w:ascii="Wingdings" w:hAnsi="Wingdings" w:hint="default"/>
        <w:sz w:val="20"/>
        <w:szCs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nsid w:val="12696986"/>
    <w:multiLevelType w:val="hybridMultilevel"/>
    <w:tmpl w:val="67C21C2C"/>
    <w:lvl w:ilvl="0" w:tplc="72440F3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6A73B29"/>
    <w:multiLevelType w:val="hybridMultilevel"/>
    <w:tmpl w:val="DE0C15E2"/>
    <w:lvl w:ilvl="0" w:tplc="27D8D7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0C5625D"/>
    <w:multiLevelType w:val="hybridMultilevel"/>
    <w:tmpl w:val="3B78B9CC"/>
    <w:lvl w:ilvl="0" w:tplc="B04864E6">
      <w:start w:val="4"/>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27AD43F2"/>
    <w:multiLevelType w:val="hybridMultilevel"/>
    <w:tmpl w:val="A68CDF5A"/>
    <w:lvl w:ilvl="0" w:tplc="A9221FD6">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6">
    <w:nsid w:val="320523B7"/>
    <w:multiLevelType w:val="hybridMultilevel"/>
    <w:tmpl w:val="8C5AF764"/>
    <w:lvl w:ilvl="0" w:tplc="BA2E140C">
      <w:numFmt w:val="bullet"/>
      <w:lvlText w:val="-"/>
      <w:lvlJc w:val="left"/>
      <w:pPr>
        <w:ind w:left="927" w:hanging="360"/>
      </w:pPr>
      <w:rPr>
        <w:rFonts w:ascii="Times New Roman" w:eastAsia="Calibri" w:hAnsi="Times New Roman" w:cs="Times New Roman" w:hint="default"/>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CCF0DED"/>
    <w:multiLevelType w:val="hybridMultilevel"/>
    <w:tmpl w:val="066A4AD2"/>
    <w:lvl w:ilvl="0" w:tplc="4E6C0D3C">
      <w:start w:val="1"/>
      <w:numFmt w:val="lowerRoman"/>
      <w:lvlText w:val="(%1)"/>
      <w:lvlJc w:val="left"/>
      <w:pPr>
        <w:ind w:left="1571"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4C2CFE"/>
    <w:multiLevelType w:val="hybridMultilevel"/>
    <w:tmpl w:val="FE721366"/>
    <w:lvl w:ilvl="0" w:tplc="6532CC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5C71C8"/>
    <w:multiLevelType w:val="hybridMultilevel"/>
    <w:tmpl w:val="DE0C15E2"/>
    <w:lvl w:ilvl="0" w:tplc="27D8D7C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56705F6E"/>
    <w:multiLevelType w:val="multilevel"/>
    <w:tmpl w:val="AA9E094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67057BD6"/>
    <w:multiLevelType w:val="hybridMultilevel"/>
    <w:tmpl w:val="029A0B4A"/>
    <w:lvl w:ilvl="0" w:tplc="66FEAC92">
      <w:start w:val="1"/>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2">
    <w:nsid w:val="688F0617"/>
    <w:multiLevelType w:val="hybridMultilevel"/>
    <w:tmpl w:val="020E1FFE"/>
    <w:lvl w:ilvl="0" w:tplc="03C62D7A">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71C5547D"/>
    <w:multiLevelType w:val="hybridMultilevel"/>
    <w:tmpl w:val="6C5C5F44"/>
    <w:lvl w:ilvl="0" w:tplc="7EC0F96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7A1E1096"/>
    <w:multiLevelType w:val="hybridMultilevel"/>
    <w:tmpl w:val="9E907198"/>
    <w:lvl w:ilvl="0" w:tplc="CECCE1BC">
      <w:start w:val="2"/>
      <w:numFmt w:val="bullet"/>
      <w:lvlText w:val="-"/>
      <w:lvlJc w:val="left"/>
      <w:pPr>
        <w:ind w:left="1065" w:hanging="360"/>
      </w:pPr>
      <w:rPr>
        <w:rFonts w:ascii="Times New Roman" w:eastAsia="Times New Roman" w:hAnsi="Times New Roman" w:cs="Times New Roman" w:hint="default"/>
      </w:rPr>
    </w:lvl>
    <w:lvl w:ilvl="1" w:tplc="042A0003" w:tentative="1">
      <w:start w:val="1"/>
      <w:numFmt w:val="bullet"/>
      <w:lvlText w:val="o"/>
      <w:lvlJc w:val="left"/>
      <w:pPr>
        <w:ind w:left="1785" w:hanging="360"/>
      </w:pPr>
      <w:rPr>
        <w:rFonts w:ascii="Courier New" w:hAnsi="Courier New" w:cs="Courier New" w:hint="default"/>
      </w:rPr>
    </w:lvl>
    <w:lvl w:ilvl="2" w:tplc="042A0005" w:tentative="1">
      <w:start w:val="1"/>
      <w:numFmt w:val="bullet"/>
      <w:lvlText w:val=""/>
      <w:lvlJc w:val="left"/>
      <w:pPr>
        <w:ind w:left="2505" w:hanging="360"/>
      </w:pPr>
      <w:rPr>
        <w:rFonts w:ascii="Wingdings" w:hAnsi="Wingdings" w:hint="default"/>
      </w:rPr>
    </w:lvl>
    <w:lvl w:ilvl="3" w:tplc="042A0001" w:tentative="1">
      <w:start w:val="1"/>
      <w:numFmt w:val="bullet"/>
      <w:lvlText w:val=""/>
      <w:lvlJc w:val="left"/>
      <w:pPr>
        <w:ind w:left="3225" w:hanging="360"/>
      </w:pPr>
      <w:rPr>
        <w:rFonts w:ascii="Symbol" w:hAnsi="Symbol" w:hint="default"/>
      </w:rPr>
    </w:lvl>
    <w:lvl w:ilvl="4" w:tplc="042A0003" w:tentative="1">
      <w:start w:val="1"/>
      <w:numFmt w:val="bullet"/>
      <w:lvlText w:val="o"/>
      <w:lvlJc w:val="left"/>
      <w:pPr>
        <w:ind w:left="3945" w:hanging="360"/>
      </w:pPr>
      <w:rPr>
        <w:rFonts w:ascii="Courier New" w:hAnsi="Courier New" w:cs="Courier New" w:hint="default"/>
      </w:rPr>
    </w:lvl>
    <w:lvl w:ilvl="5" w:tplc="042A0005" w:tentative="1">
      <w:start w:val="1"/>
      <w:numFmt w:val="bullet"/>
      <w:lvlText w:val=""/>
      <w:lvlJc w:val="left"/>
      <w:pPr>
        <w:ind w:left="4665" w:hanging="360"/>
      </w:pPr>
      <w:rPr>
        <w:rFonts w:ascii="Wingdings" w:hAnsi="Wingdings" w:hint="default"/>
      </w:rPr>
    </w:lvl>
    <w:lvl w:ilvl="6" w:tplc="042A0001" w:tentative="1">
      <w:start w:val="1"/>
      <w:numFmt w:val="bullet"/>
      <w:lvlText w:val=""/>
      <w:lvlJc w:val="left"/>
      <w:pPr>
        <w:ind w:left="5385" w:hanging="360"/>
      </w:pPr>
      <w:rPr>
        <w:rFonts w:ascii="Symbol" w:hAnsi="Symbol" w:hint="default"/>
      </w:rPr>
    </w:lvl>
    <w:lvl w:ilvl="7" w:tplc="042A0003" w:tentative="1">
      <w:start w:val="1"/>
      <w:numFmt w:val="bullet"/>
      <w:lvlText w:val="o"/>
      <w:lvlJc w:val="left"/>
      <w:pPr>
        <w:ind w:left="6105" w:hanging="360"/>
      </w:pPr>
      <w:rPr>
        <w:rFonts w:ascii="Courier New" w:hAnsi="Courier New" w:cs="Courier New" w:hint="default"/>
      </w:rPr>
    </w:lvl>
    <w:lvl w:ilvl="8" w:tplc="042A0005" w:tentative="1">
      <w:start w:val="1"/>
      <w:numFmt w:val="bullet"/>
      <w:lvlText w:val=""/>
      <w:lvlJc w:val="left"/>
      <w:pPr>
        <w:ind w:left="6825" w:hanging="360"/>
      </w:pPr>
      <w:rPr>
        <w:rFonts w:ascii="Wingdings" w:hAnsi="Wingdings" w:hint="default"/>
      </w:rPr>
    </w:lvl>
  </w:abstractNum>
  <w:num w:numId="1">
    <w:abstractNumId w:val="10"/>
  </w:num>
  <w:num w:numId="2">
    <w:abstractNumId w:val="13"/>
  </w:num>
  <w:num w:numId="3">
    <w:abstractNumId w:val="8"/>
  </w:num>
  <w:num w:numId="4">
    <w:abstractNumId w:val="7"/>
  </w:num>
  <w:num w:numId="5">
    <w:abstractNumId w:val="1"/>
  </w:num>
  <w:num w:numId="6">
    <w:abstractNumId w:val="3"/>
  </w:num>
  <w:num w:numId="7">
    <w:abstractNumId w:val="0"/>
  </w:num>
  <w:num w:numId="8">
    <w:abstractNumId w:val="9"/>
  </w:num>
  <w:num w:numId="9">
    <w:abstractNumId w:val="14"/>
  </w:num>
  <w:num w:numId="10">
    <w:abstractNumId w:val="11"/>
  </w:num>
  <w:num w:numId="11">
    <w:abstractNumId w:val="2"/>
  </w:num>
  <w:num w:numId="12">
    <w:abstractNumId w:val="4"/>
  </w:num>
  <w:num w:numId="13">
    <w:abstractNumId w:val="5"/>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284E50"/>
    <w:rsid w:val="000011BE"/>
    <w:rsid w:val="00001512"/>
    <w:rsid w:val="000032BB"/>
    <w:rsid w:val="000107EC"/>
    <w:rsid w:val="00012E70"/>
    <w:rsid w:val="000211CA"/>
    <w:rsid w:val="000348FF"/>
    <w:rsid w:val="00034AC2"/>
    <w:rsid w:val="0003567D"/>
    <w:rsid w:val="000416FD"/>
    <w:rsid w:val="00051444"/>
    <w:rsid w:val="00060A1A"/>
    <w:rsid w:val="000667F3"/>
    <w:rsid w:val="0007045C"/>
    <w:rsid w:val="000712EA"/>
    <w:rsid w:val="00072EAD"/>
    <w:rsid w:val="00075E86"/>
    <w:rsid w:val="000762D1"/>
    <w:rsid w:val="0007704D"/>
    <w:rsid w:val="0008217E"/>
    <w:rsid w:val="000844D0"/>
    <w:rsid w:val="00084F99"/>
    <w:rsid w:val="00085C0E"/>
    <w:rsid w:val="0009004B"/>
    <w:rsid w:val="000A3543"/>
    <w:rsid w:val="000B40A1"/>
    <w:rsid w:val="000B78E5"/>
    <w:rsid w:val="000C125F"/>
    <w:rsid w:val="000C392D"/>
    <w:rsid w:val="000D018F"/>
    <w:rsid w:val="000D165A"/>
    <w:rsid w:val="000D2D7E"/>
    <w:rsid w:val="000D6800"/>
    <w:rsid w:val="000D68BB"/>
    <w:rsid w:val="000E113B"/>
    <w:rsid w:val="000E1BE5"/>
    <w:rsid w:val="000E4A2A"/>
    <w:rsid w:val="000E581C"/>
    <w:rsid w:val="000F1485"/>
    <w:rsid w:val="000F2198"/>
    <w:rsid w:val="000F3CB9"/>
    <w:rsid w:val="000F596B"/>
    <w:rsid w:val="00112262"/>
    <w:rsid w:val="00117F81"/>
    <w:rsid w:val="00121B15"/>
    <w:rsid w:val="00122B3A"/>
    <w:rsid w:val="00127522"/>
    <w:rsid w:val="00131E72"/>
    <w:rsid w:val="00134DCF"/>
    <w:rsid w:val="00136E44"/>
    <w:rsid w:val="001437F0"/>
    <w:rsid w:val="00144773"/>
    <w:rsid w:val="00146907"/>
    <w:rsid w:val="00147488"/>
    <w:rsid w:val="0015323C"/>
    <w:rsid w:val="00153D72"/>
    <w:rsid w:val="001561C9"/>
    <w:rsid w:val="00156787"/>
    <w:rsid w:val="001567DC"/>
    <w:rsid w:val="001567FC"/>
    <w:rsid w:val="001641FE"/>
    <w:rsid w:val="001641FF"/>
    <w:rsid w:val="001719A3"/>
    <w:rsid w:val="00173DBC"/>
    <w:rsid w:val="00181982"/>
    <w:rsid w:val="00181E80"/>
    <w:rsid w:val="00183AAF"/>
    <w:rsid w:val="0018511B"/>
    <w:rsid w:val="00194FBD"/>
    <w:rsid w:val="00197175"/>
    <w:rsid w:val="0019740B"/>
    <w:rsid w:val="00197E44"/>
    <w:rsid w:val="001B1283"/>
    <w:rsid w:val="001B15B1"/>
    <w:rsid w:val="001B201B"/>
    <w:rsid w:val="001C22EA"/>
    <w:rsid w:val="001C38CA"/>
    <w:rsid w:val="001C6CE6"/>
    <w:rsid w:val="001D0878"/>
    <w:rsid w:val="001D0923"/>
    <w:rsid w:val="001D783A"/>
    <w:rsid w:val="001E1F3F"/>
    <w:rsid w:val="001E3D64"/>
    <w:rsid w:val="001E411F"/>
    <w:rsid w:val="001E4CD0"/>
    <w:rsid w:val="001E7B03"/>
    <w:rsid w:val="001F46B5"/>
    <w:rsid w:val="00200492"/>
    <w:rsid w:val="00200A76"/>
    <w:rsid w:val="00206B79"/>
    <w:rsid w:val="002107E9"/>
    <w:rsid w:val="00211868"/>
    <w:rsid w:val="00211D01"/>
    <w:rsid w:val="00220ABB"/>
    <w:rsid w:val="00223525"/>
    <w:rsid w:val="002239E3"/>
    <w:rsid w:val="002265E3"/>
    <w:rsid w:val="002321FB"/>
    <w:rsid w:val="00233339"/>
    <w:rsid w:val="00235167"/>
    <w:rsid w:val="00237949"/>
    <w:rsid w:val="002423BF"/>
    <w:rsid w:val="00243CDA"/>
    <w:rsid w:val="0024459B"/>
    <w:rsid w:val="00246BF6"/>
    <w:rsid w:val="00262555"/>
    <w:rsid w:val="00262790"/>
    <w:rsid w:val="0026451B"/>
    <w:rsid w:val="002654B0"/>
    <w:rsid w:val="00270CE1"/>
    <w:rsid w:val="00273FF9"/>
    <w:rsid w:val="0027790F"/>
    <w:rsid w:val="0027794A"/>
    <w:rsid w:val="00280F36"/>
    <w:rsid w:val="00284E50"/>
    <w:rsid w:val="0029249E"/>
    <w:rsid w:val="0029396B"/>
    <w:rsid w:val="00293F71"/>
    <w:rsid w:val="002A1418"/>
    <w:rsid w:val="002A4895"/>
    <w:rsid w:val="002A4B5F"/>
    <w:rsid w:val="002A5C83"/>
    <w:rsid w:val="002B7011"/>
    <w:rsid w:val="002B7D94"/>
    <w:rsid w:val="002D38B2"/>
    <w:rsid w:val="002D4419"/>
    <w:rsid w:val="002D7D8C"/>
    <w:rsid w:val="002E1736"/>
    <w:rsid w:val="002E1823"/>
    <w:rsid w:val="002E27A5"/>
    <w:rsid w:val="002E535F"/>
    <w:rsid w:val="002E7749"/>
    <w:rsid w:val="002E7884"/>
    <w:rsid w:val="002F39F4"/>
    <w:rsid w:val="003041AC"/>
    <w:rsid w:val="003070A4"/>
    <w:rsid w:val="00310CA4"/>
    <w:rsid w:val="0031104C"/>
    <w:rsid w:val="0031680F"/>
    <w:rsid w:val="0033151C"/>
    <w:rsid w:val="00336937"/>
    <w:rsid w:val="00342446"/>
    <w:rsid w:val="00362DE7"/>
    <w:rsid w:val="00364647"/>
    <w:rsid w:val="0036574A"/>
    <w:rsid w:val="00365A32"/>
    <w:rsid w:val="003674D2"/>
    <w:rsid w:val="00370047"/>
    <w:rsid w:val="003703CB"/>
    <w:rsid w:val="00372261"/>
    <w:rsid w:val="00376121"/>
    <w:rsid w:val="00376447"/>
    <w:rsid w:val="00383D79"/>
    <w:rsid w:val="003877AC"/>
    <w:rsid w:val="00393A62"/>
    <w:rsid w:val="003A35FF"/>
    <w:rsid w:val="003B1196"/>
    <w:rsid w:val="003B3612"/>
    <w:rsid w:val="003B5DF9"/>
    <w:rsid w:val="003B6E8D"/>
    <w:rsid w:val="003B7C6E"/>
    <w:rsid w:val="003C620B"/>
    <w:rsid w:val="003C79F1"/>
    <w:rsid w:val="003D09B5"/>
    <w:rsid w:val="003D47E7"/>
    <w:rsid w:val="003D49D9"/>
    <w:rsid w:val="003D7BF2"/>
    <w:rsid w:val="003E4C66"/>
    <w:rsid w:val="003E608D"/>
    <w:rsid w:val="003E6540"/>
    <w:rsid w:val="003E6B85"/>
    <w:rsid w:val="003F1B9C"/>
    <w:rsid w:val="003F3590"/>
    <w:rsid w:val="003F3D6E"/>
    <w:rsid w:val="003F464F"/>
    <w:rsid w:val="003F60F1"/>
    <w:rsid w:val="003F6753"/>
    <w:rsid w:val="004026D5"/>
    <w:rsid w:val="00405A98"/>
    <w:rsid w:val="00407A14"/>
    <w:rsid w:val="004116E2"/>
    <w:rsid w:val="00423807"/>
    <w:rsid w:val="004303A9"/>
    <w:rsid w:val="004317DC"/>
    <w:rsid w:val="004346EF"/>
    <w:rsid w:val="004358DF"/>
    <w:rsid w:val="004420E4"/>
    <w:rsid w:val="004421E8"/>
    <w:rsid w:val="00443472"/>
    <w:rsid w:val="00443B9B"/>
    <w:rsid w:val="004443D6"/>
    <w:rsid w:val="004468CA"/>
    <w:rsid w:val="00447556"/>
    <w:rsid w:val="00454DED"/>
    <w:rsid w:val="00462729"/>
    <w:rsid w:val="00465328"/>
    <w:rsid w:val="00470D46"/>
    <w:rsid w:val="00471D99"/>
    <w:rsid w:val="004720AB"/>
    <w:rsid w:val="004721DC"/>
    <w:rsid w:val="00472E16"/>
    <w:rsid w:val="0047411E"/>
    <w:rsid w:val="00481CD9"/>
    <w:rsid w:val="00485A4E"/>
    <w:rsid w:val="00490775"/>
    <w:rsid w:val="00492ABD"/>
    <w:rsid w:val="00494692"/>
    <w:rsid w:val="004958D1"/>
    <w:rsid w:val="00495A6F"/>
    <w:rsid w:val="004970D4"/>
    <w:rsid w:val="0049770D"/>
    <w:rsid w:val="004A3DD8"/>
    <w:rsid w:val="004B45E7"/>
    <w:rsid w:val="004B6163"/>
    <w:rsid w:val="004C09E3"/>
    <w:rsid w:val="004C2694"/>
    <w:rsid w:val="004C2919"/>
    <w:rsid w:val="004C37AD"/>
    <w:rsid w:val="004C43AE"/>
    <w:rsid w:val="004C4915"/>
    <w:rsid w:val="004C5567"/>
    <w:rsid w:val="004C6236"/>
    <w:rsid w:val="004D09E0"/>
    <w:rsid w:val="004D1DA3"/>
    <w:rsid w:val="004D419E"/>
    <w:rsid w:val="004D5696"/>
    <w:rsid w:val="004D60A0"/>
    <w:rsid w:val="004E0E23"/>
    <w:rsid w:val="004E1D96"/>
    <w:rsid w:val="004E2F85"/>
    <w:rsid w:val="004E670A"/>
    <w:rsid w:val="004E7005"/>
    <w:rsid w:val="004E7740"/>
    <w:rsid w:val="004E7754"/>
    <w:rsid w:val="004F3FF5"/>
    <w:rsid w:val="004F54A9"/>
    <w:rsid w:val="004F5D4B"/>
    <w:rsid w:val="005047B0"/>
    <w:rsid w:val="00507DA2"/>
    <w:rsid w:val="00510CBA"/>
    <w:rsid w:val="00511651"/>
    <w:rsid w:val="005123AF"/>
    <w:rsid w:val="00515950"/>
    <w:rsid w:val="00517FDD"/>
    <w:rsid w:val="00521113"/>
    <w:rsid w:val="00522797"/>
    <w:rsid w:val="0052694E"/>
    <w:rsid w:val="005330D4"/>
    <w:rsid w:val="0053669D"/>
    <w:rsid w:val="00536848"/>
    <w:rsid w:val="00536990"/>
    <w:rsid w:val="00542516"/>
    <w:rsid w:val="00564AE8"/>
    <w:rsid w:val="0057478F"/>
    <w:rsid w:val="00575B57"/>
    <w:rsid w:val="0057739A"/>
    <w:rsid w:val="00581475"/>
    <w:rsid w:val="005876B8"/>
    <w:rsid w:val="00590084"/>
    <w:rsid w:val="00597428"/>
    <w:rsid w:val="005A0221"/>
    <w:rsid w:val="005A1FA4"/>
    <w:rsid w:val="005A6D3B"/>
    <w:rsid w:val="005A792B"/>
    <w:rsid w:val="005B1612"/>
    <w:rsid w:val="005B1DEC"/>
    <w:rsid w:val="005C2F2E"/>
    <w:rsid w:val="005C34B2"/>
    <w:rsid w:val="005C4703"/>
    <w:rsid w:val="005C5FF2"/>
    <w:rsid w:val="005D08CB"/>
    <w:rsid w:val="005D36BF"/>
    <w:rsid w:val="005E7105"/>
    <w:rsid w:val="005E7473"/>
    <w:rsid w:val="005F1947"/>
    <w:rsid w:val="005F3C88"/>
    <w:rsid w:val="005F5751"/>
    <w:rsid w:val="006031CF"/>
    <w:rsid w:val="00604451"/>
    <w:rsid w:val="006061AA"/>
    <w:rsid w:val="006101BB"/>
    <w:rsid w:val="00612157"/>
    <w:rsid w:val="00621927"/>
    <w:rsid w:val="006306F2"/>
    <w:rsid w:val="00632C57"/>
    <w:rsid w:val="0063445A"/>
    <w:rsid w:val="00643633"/>
    <w:rsid w:val="006518ED"/>
    <w:rsid w:val="00652638"/>
    <w:rsid w:val="006600CA"/>
    <w:rsid w:val="00664740"/>
    <w:rsid w:val="006757CF"/>
    <w:rsid w:val="00685651"/>
    <w:rsid w:val="00687E7A"/>
    <w:rsid w:val="00691A6D"/>
    <w:rsid w:val="0069439D"/>
    <w:rsid w:val="006945FD"/>
    <w:rsid w:val="0069662E"/>
    <w:rsid w:val="00697053"/>
    <w:rsid w:val="006A7A91"/>
    <w:rsid w:val="006B22A8"/>
    <w:rsid w:val="006C2EF3"/>
    <w:rsid w:val="006C3DE5"/>
    <w:rsid w:val="006C6B00"/>
    <w:rsid w:val="006C7FC2"/>
    <w:rsid w:val="006D4927"/>
    <w:rsid w:val="006D530C"/>
    <w:rsid w:val="006D5333"/>
    <w:rsid w:val="006D5C1A"/>
    <w:rsid w:val="006E1B26"/>
    <w:rsid w:val="006E47D7"/>
    <w:rsid w:val="006E69AC"/>
    <w:rsid w:val="006F200C"/>
    <w:rsid w:val="006F2D35"/>
    <w:rsid w:val="006F397B"/>
    <w:rsid w:val="006F45C2"/>
    <w:rsid w:val="00707949"/>
    <w:rsid w:val="0071579E"/>
    <w:rsid w:val="0071638F"/>
    <w:rsid w:val="00717666"/>
    <w:rsid w:val="00720406"/>
    <w:rsid w:val="007217CF"/>
    <w:rsid w:val="00723B0F"/>
    <w:rsid w:val="00730EBE"/>
    <w:rsid w:val="00747517"/>
    <w:rsid w:val="007570AD"/>
    <w:rsid w:val="00757240"/>
    <w:rsid w:val="00767403"/>
    <w:rsid w:val="00770503"/>
    <w:rsid w:val="00770DDF"/>
    <w:rsid w:val="0077490E"/>
    <w:rsid w:val="00776CCB"/>
    <w:rsid w:val="00776CD0"/>
    <w:rsid w:val="007875CE"/>
    <w:rsid w:val="00791BBC"/>
    <w:rsid w:val="00792873"/>
    <w:rsid w:val="00793ADC"/>
    <w:rsid w:val="007942BD"/>
    <w:rsid w:val="007957B7"/>
    <w:rsid w:val="007968C2"/>
    <w:rsid w:val="00797C97"/>
    <w:rsid w:val="007A03F2"/>
    <w:rsid w:val="007A065D"/>
    <w:rsid w:val="007A0FC6"/>
    <w:rsid w:val="007A529A"/>
    <w:rsid w:val="007A5F82"/>
    <w:rsid w:val="007B143B"/>
    <w:rsid w:val="007B322B"/>
    <w:rsid w:val="007B3A51"/>
    <w:rsid w:val="007C03E1"/>
    <w:rsid w:val="007C26AD"/>
    <w:rsid w:val="007C2879"/>
    <w:rsid w:val="007C474D"/>
    <w:rsid w:val="007C79C5"/>
    <w:rsid w:val="007D0DF6"/>
    <w:rsid w:val="007D3226"/>
    <w:rsid w:val="007D3C14"/>
    <w:rsid w:val="007D54C2"/>
    <w:rsid w:val="007F56AB"/>
    <w:rsid w:val="00802822"/>
    <w:rsid w:val="00803DC0"/>
    <w:rsid w:val="00812238"/>
    <w:rsid w:val="00826039"/>
    <w:rsid w:val="0083214F"/>
    <w:rsid w:val="0083510E"/>
    <w:rsid w:val="0083780D"/>
    <w:rsid w:val="00837F57"/>
    <w:rsid w:val="008468D8"/>
    <w:rsid w:val="008510F3"/>
    <w:rsid w:val="00861852"/>
    <w:rsid w:val="008707F3"/>
    <w:rsid w:val="00876521"/>
    <w:rsid w:val="00877AAD"/>
    <w:rsid w:val="008810D5"/>
    <w:rsid w:val="008818F5"/>
    <w:rsid w:val="0088304C"/>
    <w:rsid w:val="00884840"/>
    <w:rsid w:val="00884EE3"/>
    <w:rsid w:val="008A0788"/>
    <w:rsid w:val="008A2874"/>
    <w:rsid w:val="008A7992"/>
    <w:rsid w:val="008B1B33"/>
    <w:rsid w:val="008C346A"/>
    <w:rsid w:val="008C44E2"/>
    <w:rsid w:val="008C5400"/>
    <w:rsid w:val="008C7562"/>
    <w:rsid w:val="008D21F4"/>
    <w:rsid w:val="008D64D2"/>
    <w:rsid w:val="008D79AB"/>
    <w:rsid w:val="008E1D4D"/>
    <w:rsid w:val="008E2976"/>
    <w:rsid w:val="008E3FDA"/>
    <w:rsid w:val="008E55B8"/>
    <w:rsid w:val="008F0811"/>
    <w:rsid w:val="008F0CF2"/>
    <w:rsid w:val="008F2270"/>
    <w:rsid w:val="008F2B02"/>
    <w:rsid w:val="008F61C1"/>
    <w:rsid w:val="00901867"/>
    <w:rsid w:val="00912967"/>
    <w:rsid w:val="00916037"/>
    <w:rsid w:val="00924B53"/>
    <w:rsid w:val="009305AB"/>
    <w:rsid w:val="00930C5A"/>
    <w:rsid w:val="00931349"/>
    <w:rsid w:val="00932913"/>
    <w:rsid w:val="00935A60"/>
    <w:rsid w:val="009372AF"/>
    <w:rsid w:val="009425DE"/>
    <w:rsid w:val="009459CA"/>
    <w:rsid w:val="00951BE6"/>
    <w:rsid w:val="00951FFB"/>
    <w:rsid w:val="0095443B"/>
    <w:rsid w:val="00956E97"/>
    <w:rsid w:val="009579E9"/>
    <w:rsid w:val="0096104C"/>
    <w:rsid w:val="0097094F"/>
    <w:rsid w:val="00974B8B"/>
    <w:rsid w:val="00974BA1"/>
    <w:rsid w:val="00980FF1"/>
    <w:rsid w:val="00991A95"/>
    <w:rsid w:val="00993E19"/>
    <w:rsid w:val="00997A77"/>
    <w:rsid w:val="009A0A10"/>
    <w:rsid w:val="009C063A"/>
    <w:rsid w:val="009C4E1F"/>
    <w:rsid w:val="009C56B1"/>
    <w:rsid w:val="009C5733"/>
    <w:rsid w:val="009C62CA"/>
    <w:rsid w:val="009D03D5"/>
    <w:rsid w:val="009E15F1"/>
    <w:rsid w:val="009E5785"/>
    <w:rsid w:val="009E7714"/>
    <w:rsid w:val="009F102A"/>
    <w:rsid w:val="009F1BFF"/>
    <w:rsid w:val="009F523A"/>
    <w:rsid w:val="00A01A36"/>
    <w:rsid w:val="00A01C02"/>
    <w:rsid w:val="00A0246C"/>
    <w:rsid w:val="00A062FE"/>
    <w:rsid w:val="00A07827"/>
    <w:rsid w:val="00A11926"/>
    <w:rsid w:val="00A12CD6"/>
    <w:rsid w:val="00A15941"/>
    <w:rsid w:val="00A1777A"/>
    <w:rsid w:val="00A2237E"/>
    <w:rsid w:val="00A2446E"/>
    <w:rsid w:val="00A2719E"/>
    <w:rsid w:val="00A27C99"/>
    <w:rsid w:val="00A311E0"/>
    <w:rsid w:val="00A32570"/>
    <w:rsid w:val="00A418FA"/>
    <w:rsid w:val="00A5404D"/>
    <w:rsid w:val="00A570E7"/>
    <w:rsid w:val="00A602AE"/>
    <w:rsid w:val="00A61E5F"/>
    <w:rsid w:val="00A67E1A"/>
    <w:rsid w:val="00A716DA"/>
    <w:rsid w:val="00A75E7A"/>
    <w:rsid w:val="00A813BE"/>
    <w:rsid w:val="00A81978"/>
    <w:rsid w:val="00A8276D"/>
    <w:rsid w:val="00A83A18"/>
    <w:rsid w:val="00A84674"/>
    <w:rsid w:val="00A847F0"/>
    <w:rsid w:val="00A923D4"/>
    <w:rsid w:val="00A94AE4"/>
    <w:rsid w:val="00AA17C5"/>
    <w:rsid w:val="00AA27E3"/>
    <w:rsid w:val="00AA2BBB"/>
    <w:rsid w:val="00AA3505"/>
    <w:rsid w:val="00AA351E"/>
    <w:rsid w:val="00AA601E"/>
    <w:rsid w:val="00AB1116"/>
    <w:rsid w:val="00AC00AA"/>
    <w:rsid w:val="00AC2740"/>
    <w:rsid w:val="00AC457B"/>
    <w:rsid w:val="00AC6F3D"/>
    <w:rsid w:val="00AD26FF"/>
    <w:rsid w:val="00AD4BDB"/>
    <w:rsid w:val="00AD68A4"/>
    <w:rsid w:val="00AE2692"/>
    <w:rsid w:val="00AE5727"/>
    <w:rsid w:val="00AE633F"/>
    <w:rsid w:val="00AE6B13"/>
    <w:rsid w:val="00AF35FA"/>
    <w:rsid w:val="00B13E38"/>
    <w:rsid w:val="00B13F25"/>
    <w:rsid w:val="00B17067"/>
    <w:rsid w:val="00B22FD6"/>
    <w:rsid w:val="00B23117"/>
    <w:rsid w:val="00B23473"/>
    <w:rsid w:val="00B27736"/>
    <w:rsid w:val="00B328B2"/>
    <w:rsid w:val="00B41070"/>
    <w:rsid w:val="00B42F6E"/>
    <w:rsid w:val="00B4331A"/>
    <w:rsid w:val="00B45C67"/>
    <w:rsid w:val="00B45C95"/>
    <w:rsid w:val="00B5706A"/>
    <w:rsid w:val="00B57653"/>
    <w:rsid w:val="00B6171E"/>
    <w:rsid w:val="00B6419A"/>
    <w:rsid w:val="00B707AC"/>
    <w:rsid w:val="00B70D48"/>
    <w:rsid w:val="00B75899"/>
    <w:rsid w:val="00B80128"/>
    <w:rsid w:val="00B851E3"/>
    <w:rsid w:val="00B87CD6"/>
    <w:rsid w:val="00B928F5"/>
    <w:rsid w:val="00B937F0"/>
    <w:rsid w:val="00BA22C7"/>
    <w:rsid w:val="00BA505E"/>
    <w:rsid w:val="00BA5CA9"/>
    <w:rsid w:val="00BA7174"/>
    <w:rsid w:val="00BA7DA6"/>
    <w:rsid w:val="00BB0205"/>
    <w:rsid w:val="00BB2CD1"/>
    <w:rsid w:val="00BB42EC"/>
    <w:rsid w:val="00BB623E"/>
    <w:rsid w:val="00BB71E1"/>
    <w:rsid w:val="00BD2697"/>
    <w:rsid w:val="00BD4AE3"/>
    <w:rsid w:val="00BD7DA0"/>
    <w:rsid w:val="00BE5AC2"/>
    <w:rsid w:val="00BE64D4"/>
    <w:rsid w:val="00C017A1"/>
    <w:rsid w:val="00C049A2"/>
    <w:rsid w:val="00C13E8E"/>
    <w:rsid w:val="00C21106"/>
    <w:rsid w:val="00C24C0A"/>
    <w:rsid w:val="00C250CA"/>
    <w:rsid w:val="00C26691"/>
    <w:rsid w:val="00C269DC"/>
    <w:rsid w:val="00C320E0"/>
    <w:rsid w:val="00C32CBA"/>
    <w:rsid w:val="00C368F1"/>
    <w:rsid w:val="00C37743"/>
    <w:rsid w:val="00C403B6"/>
    <w:rsid w:val="00C407F0"/>
    <w:rsid w:val="00C4266A"/>
    <w:rsid w:val="00C42699"/>
    <w:rsid w:val="00C43528"/>
    <w:rsid w:val="00C50D66"/>
    <w:rsid w:val="00C524BE"/>
    <w:rsid w:val="00C540DD"/>
    <w:rsid w:val="00C57329"/>
    <w:rsid w:val="00C63884"/>
    <w:rsid w:val="00C6389F"/>
    <w:rsid w:val="00C82C10"/>
    <w:rsid w:val="00C8597E"/>
    <w:rsid w:val="00C86B08"/>
    <w:rsid w:val="00C901FA"/>
    <w:rsid w:val="00C972EA"/>
    <w:rsid w:val="00CA1337"/>
    <w:rsid w:val="00CB6A54"/>
    <w:rsid w:val="00CB7C75"/>
    <w:rsid w:val="00CC076A"/>
    <w:rsid w:val="00CC32D6"/>
    <w:rsid w:val="00CC7512"/>
    <w:rsid w:val="00CD4629"/>
    <w:rsid w:val="00CE4069"/>
    <w:rsid w:val="00CE6053"/>
    <w:rsid w:val="00CE6AD8"/>
    <w:rsid w:val="00CF25E3"/>
    <w:rsid w:val="00D01418"/>
    <w:rsid w:val="00D030C0"/>
    <w:rsid w:val="00D03D7F"/>
    <w:rsid w:val="00D03D97"/>
    <w:rsid w:val="00D118EE"/>
    <w:rsid w:val="00D14677"/>
    <w:rsid w:val="00D17198"/>
    <w:rsid w:val="00D24578"/>
    <w:rsid w:val="00D34E82"/>
    <w:rsid w:val="00D37041"/>
    <w:rsid w:val="00D430E3"/>
    <w:rsid w:val="00D501C8"/>
    <w:rsid w:val="00D5161F"/>
    <w:rsid w:val="00D51C98"/>
    <w:rsid w:val="00D53563"/>
    <w:rsid w:val="00D60997"/>
    <w:rsid w:val="00D60A74"/>
    <w:rsid w:val="00D61E40"/>
    <w:rsid w:val="00D62DC3"/>
    <w:rsid w:val="00D63645"/>
    <w:rsid w:val="00D67DB1"/>
    <w:rsid w:val="00D67F7B"/>
    <w:rsid w:val="00D72D02"/>
    <w:rsid w:val="00D74A62"/>
    <w:rsid w:val="00D75430"/>
    <w:rsid w:val="00D87B10"/>
    <w:rsid w:val="00D952A0"/>
    <w:rsid w:val="00D9616A"/>
    <w:rsid w:val="00DA1433"/>
    <w:rsid w:val="00DA2F11"/>
    <w:rsid w:val="00DA4615"/>
    <w:rsid w:val="00DA704B"/>
    <w:rsid w:val="00DA775B"/>
    <w:rsid w:val="00DB52FD"/>
    <w:rsid w:val="00DC30AF"/>
    <w:rsid w:val="00DD1BBA"/>
    <w:rsid w:val="00DD655D"/>
    <w:rsid w:val="00DE08DE"/>
    <w:rsid w:val="00DE792F"/>
    <w:rsid w:val="00DF1C06"/>
    <w:rsid w:val="00DF2A7D"/>
    <w:rsid w:val="00DF2DC9"/>
    <w:rsid w:val="00DF5106"/>
    <w:rsid w:val="00E0637A"/>
    <w:rsid w:val="00E07932"/>
    <w:rsid w:val="00E07AA5"/>
    <w:rsid w:val="00E07C2D"/>
    <w:rsid w:val="00E100B3"/>
    <w:rsid w:val="00E10167"/>
    <w:rsid w:val="00E10942"/>
    <w:rsid w:val="00E1169F"/>
    <w:rsid w:val="00E122CB"/>
    <w:rsid w:val="00E125D4"/>
    <w:rsid w:val="00E13C00"/>
    <w:rsid w:val="00E317FD"/>
    <w:rsid w:val="00E31D36"/>
    <w:rsid w:val="00E33278"/>
    <w:rsid w:val="00E41A46"/>
    <w:rsid w:val="00E41BCC"/>
    <w:rsid w:val="00E41E2A"/>
    <w:rsid w:val="00E511C2"/>
    <w:rsid w:val="00E6209B"/>
    <w:rsid w:val="00E63CA8"/>
    <w:rsid w:val="00E918AC"/>
    <w:rsid w:val="00E94B16"/>
    <w:rsid w:val="00EA4C8D"/>
    <w:rsid w:val="00EA6D8E"/>
    <w:rsid w:val="00EA74AD"/>
    <w:rsid w:val="00EB2B0C"/>
    <w:rsid w:val="00EB75EE"/>
    <w:rsid w:val="00EC2690"/>
    <w:rsid w:val="00EC26CF"/>
    <w:rsid w:val="00EC2B90"/>
    <w:rsid w:val="00EC4C05"/>
    <w:rsid w:val="00ED16AD"/>
    <w:rsid w:val="00ED291D"/>
    <w:rsid w:val="00ED682B"/>
    <w:rsid w:val="00EE2D39"/>
    <w:rsid w:val="00EE3D5B"/>
    <w:rsid w:val="00EF65E6"/>
    <w:rsid w:val="00EF70C4"/>
    <w:rsid w:val="00F013C5"/>
    <w:rsid w:val="00F02832"/>
    <w:rsid w:val="00F02945"/>
    <w:rsid w:val="00F0799D"/>
    <w:rsid w:val="00F07C0C"/>
    <w:rsid w:val="00F15DF2"/>
    <w:rsid w:val="00F203C8"/>
    <w:rsid w:val="00F23EB5"/>
    <w:rsid w:val="00F329F6"/>
    <w:rsid w:val="00F43996"/>
    <w:rsid w:val="00F439C7"/>
    <w:rsid w:val="00F45298"/>
    <w:rsid w:val="00F4652D"/>
    <w:rsid w:val="00F47F8F"/>
    <w:rsid w:val="00F51A95"/>
    <w:rsid w:val="00F52C73"/>
    <w:rsid w:val="00F55C66"/>
    <w:rsid w:val="00F615CB"/>
    <w:rsid w:val="00F6224C"/>
    <w:rsid w:val="00F635B2"/>
    <w:rsid w:val="00F648E1"/>
    <w:rsid w:val="00F723EF"/>
    <w:rsid w:val="00F72421"/>
    <w:rsid w:val="00F73752"/>
    <w:rsid w:val="00F73CB1"/>
    <w:rsid w:val="00F752FF"/>
    <w:rsid w:val="00F77314"/>
    <w:rsid w:val="00F77F27"/>
    <w:rsid w:val="00F8136D"/>
    <w:rsid w:val="00F827F0"/>
    <w:rsid w:val="00F834B1"/>
    <w:rsid w:val="00F854D0"/>
    <w:rsid w:val="00F858D1"/>
    <w:rsid w:val="00F862F6"/>
    <w:rsid w:val="00F86732"/>
    <w:rsid w:val="00F902BC"/>
    <w:rsid w:val="00F906E8"/>
    <w:rsid w:val="00F96411"/>
    <w:rsid w:val="00FA1D37"/>
    <w:rsid w:val="00FA4DB1"/>
    <w:rsid w:val="00FA7850"/>
    <w:rsid w:val="00FB09D4"/>
    <w:rsid w:val="00FB21A6"/>
    <w:rsid w:val="00FB5095"/>
    <w:rsid w:val="00FC1C0C"/>
    <w:rsid w:val="00FC2CF8"/>
    <w:rsid w:val="00FC2F52"/>
    <w:rsid w:val="00FC7389"/>
    <w:rsid w:val="00FC75DA"/>
    <w:rsid w:val="00FD0EFA"/>
    <w:rsid w:val="00FD1739"/>
    <w:rsid w:val="00FD3743"/>
    <w:rsid w:val="00FE471F"/>
    <w:rsid w:val="00FE7E90"/>
    <w:rsid w:val="00FF0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9E"/>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F3C88"/>
    <w:pPr>
      <w:spacing w:before="100" w:beforeAutospacing="1" w:after="100" w:afterAutospacing="1"/>
    </w:pPr>
    <w:rPr>
      <w:rFonts w:eastAsia="Times New Roman"/>
      <w:sz w:val="24"/>
      <w:szCs w:val="24"/>
    </w:rPr>
  </w:style>
  <w:style w:type="paragraph" w:styleId="NoSpacing">
    <w:name w:val="No Spacing"/>
    <w:uiPriority w:val="99"/>
    <w:qFormat/>
    <w:rsid w:val="005F3C88"/>
    <w:rPr>
      <w:rFonts w:eastAsia="Times New Roman"/>
      <w:sz w:val="24"/>
      <w:szCs w:val="24"/>
    </w:rPr>
  </w:style>
  <w:style w:type="paragraph" w:styleId="Header">
    <w:name w:val="header"/>
    <w:basedOn w:val="Normal"/>
    <w:link w:val="HeaderChar"/>
    <w:uiPriority w:val="99"/>
    <w:unhideWhenUsed/>
    <w:rsid w:val="005F3C88"/>
    <w:pPr>
      <w:tabs>
        <w:tab w:val="center" w:pos="4680"/>
        <w:tab w:val="right" w:pos="9360"/>
      </w:tabs>
    </w:pPr>
  </w:style>
  <w:style w:type="character" w:customStyle="1" w:styleId="HeaderChar">
    <w:name w:val="Header Char"/>
    <w:basedOn w:val="DefaultParagraphFont"/>
    <w:link w:val="Header"/>
    <w:uiPriority w:val="99"/>
    <w:rsid w:val="005F3C88"/>
  </w:style>
  <w:style w:type="paragraph" w:styleId="Footer">
    <w:name w:val="footer"/>
    <w:basedOn w:val="Normal"/>
    <w:link w:val="FooterChar"/>
    <w:uiPriority w:val="99"/>
    <w:unhideWhenUsed/>
    <w:rsid w:val="005F3C88"/>
    <w:pPr>
      <w:tabs>
        <w:tab w:val="center" w:pos="4680"/>
        <w:tab w:val="right" w:pos="9360"/>
      </w:tabs>
    </w:pPr>
  </w:style>
  <w:style w:type="character" w:customStyle="1" w:styleId="FooterChar">
    <w:name w:val="Footer Char"/>
    <w:basedOn w:val="DefaultParagraphFont"/>
    <w:link w:val="Footer"/>
    <w:uiPriority w:val="99"/>
    <w:rsid w:val="005F3C88"/>
  </w:style>
  <w:style w:type="paragraph" w:styleId="ListParagraph">
    <w:name w:val="List Paragraph"/>
    <w:aliases w:val="bullet,List Paragraph1,-,List Paragraph2,Thang2"/>
    <w:basedOn w:val="Normal"/>
    <w:link w:val="ListParagraphChar"/>
    <w:uiPriority w:val="34"/>
    <w:qFormat/>
    <w:rsid w:val="00085C0E"/>
    <w:pPr>
      <w:ind w:left="720"/>
      <w:contextualSpacing/>
    </w:p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uiPriority w:val="99"/>
    <w:unhideWhenUsed/>
    <w:qFormat/>
    <w:rsid w:val="00EF70C4"/>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basedOn w:val="DefaultParagraphFont"/>
    <w:link w:val="FootnoteText"/>
    <w:uiPriority w:val="99"/>
    <w:qFormat/>
    <w:rsid w:val="00EF70C4"/>
    <w:rPr>
      <w:sz w:val="20"/>
      <w:szCs w:val="20"/>
    </w:rPr>
  </w:style>
  <w:style w:type="character" w:styleId="FootnoteReference">
    <w:name w:val="footnote reference"/>
    <w:aliases w:val="Footnote,Footnote text,ftref,(NECG) Footnote Reference,16 Point,Superscript 6 Point,Footnote + Arial,10 pt,Black,SUPERS,Footnote dich,fr,BVI fnr,footnote ref,Footnote Reference Number,Знак сноски 1,Ref,de nota al pie,BearingPoint,f,R"/>
    <w:basedOn w:val="DefaultParagraphFont"/>
    <w:link w:val="CarattereCarattereCharCharCharCharCharCharZchn"/>
    <w:uiPriority w:val="99"/>
    <w:unhideWhenUsed/>
    <w:qFormat/>
    <w:rsid w:val="00EF70C4"/>
    <w:rPr>
      <w:vertAlign w:val="superscript"/>
    </w:rPr>
  </w:style>
  <w:style w:type="paragraph" w:styleId="BodyText">
    <w:name w:val="Body Text"/>
    <w:aliases w:val=" Char"/>
    <w:basedOn w:val="Normal"/>
    <w:link w:val="BodyTextChar"/>
    <w:uiPriority w:val="99"/>
    <w:rsid w:val="00C6389F"/>
    <w:pPr>
      <w:jc w:val="both"/>
    </w:pPr>
    <w:rPr>
      <w:rFonts w:ascii=".VnTime" w:eastAsia="Times New Roman" w:hAnsi=".VnTime"/>
      <w:szCs w:val="20"/>
    </w:rPr>
  </w:style>
  <w:style w:type="character" w:customStyle="1" w:styleId="BodyTextChar">
    <w:name w:val="Body Text Char"/>
    <w:aliases w:val=" Char Char"/>
    <w:basedOn w:val="DefaultParagraphFont"/>
    <w:link w:val="BodyText"/>
    <w:uiPriority w:val="99"/>
    <w:rsid w:val="00C6389F"/>
    <w:rPr>
      <w:rFonts w:ascii=".VnTime" w:eastAsia="Times New Roman" w:hAnsi=".VnTime"/>
      <w:sz w:val="28"/>
      <w:lang w:val="en-US" w:eastAsia="en-US"/>
    </w:rPr>
  </w:style>
  <w:style w:type="paragraph" w:styleId="BodyText2">
    <w:name w:val="Body Text 2"/>
    <w:basedOn w:val="Normal"/>
    <w:link w:val="BodyText2Char"/>
    <w:uiPriority w:val="99"/>
    <w:unhideWhenUsed/>
    <w:rsid w:val="00C6389F"/>
    <w:pPr>
      <w:spacing w:after="120" w:line="480" w:lineRule="auto"/>
    </w:pPr>
    <w:rPr>
      <w:rFonts w:ascii=".VnTime" w:eastAsia="Times New Roman" w:hAnsi=".VnTime"/>
      <w:i/>
      <w:szCs w:val="20"/>
    </w:rPr>
  </w:style>
  <w:style w:type="character" w:customStyle="1" w:styleId="BodyText2Char">
    <w:name w:val="Body Text 2 Char"/>
    <w:basedOn w:val="DefaultParagraphFont"/>
    <w:link w:val="BodyText2"/>
    <w:uiPriority w:val="99"/>
    <w:rsid w:val="00C6389F"/>
    <w:rPr>
      <w:rFonts w:ascii=".VnTime" w:eastAsia="Times New Roman" w:hAnsi=".VnTime"/>
      <w:i/>
      <w:sz w:val="28"/>
      <w:lang w:val="en-US" w:eastAsia="en-US"/>
    </w:rPr>
  </w:style>
  <w:style w:type="paragraph" w:styleId="BodyTextIndent3">
    <w:name w:val="Body Text Indent 3"/>
    <w:basedOn w:val="Normal"/>
    <w:link w:val="BodyTextIndent3Char"/>
    <w:rsid w:val="00C6389F"/>
    <w:pPr>
      <w:spacing w:line="300" w:lineRule="atLeast"/>
      <w:ind w:firstLine="720"/>
      <w:jc w:val="both"/>
    </w:pPr>
    <w:rPr>
      <w:rFonts w:ascii=".VnTime" w:eastAsia="Times New Roman" w:hAnsi=".VnTime"/>
      <w:sz w:val="27"/>
      <w:szCs w:val="20"/>
    </w:rPr>
  </w:style>
  <w:style w:type="character" w:customStyle="1" w:styleId="BodyTextIndent3Char">
    <w:name w:val="Body Text Indent 3 Char"/>
    <w:basedOn w:val="DefaultParagraphFont"/>
    <w:link w:val="BodyTextIndent3"/>
    <w:rsid w:val="00C6389F"/>
    <w:rPr>
      <w:rFonts w:ascii=".VnTime" w:eastAsia="Times New Roman" w:hAnsi=".VnTime"/>
      <w:sz w:val="27"/>
      <w:lang w:val="en-US" w:eastAsia="en-US"/>
    </w:rPr>
  </w:style>
  <w:style w:type="character" w:customStyle="1" w:styleId="ListParagraphChar">
    <w:name w:val="List Paragraph Char"/>
    <w:aliases w:val="bullet Char,List Paragraph1 Char,- Char,List Paragraph2 Char,Thang2 Char"/>
    <w:link w:val="ListParagraph"/>
    <w:uiPriority w:val="34"/>
    <w:locked/>
    <w:rsid w:val="00C6389F"/>
    <w:rPr>
      <w:sz w:val="28"/>
      <w:szCs w:val="22"/>
      <w:lang w:val="en-US" w:eastAsia="en-US"/>
    </w:rPr>
  </w:style>
  <w:style w:type="paragraph" w:styleId="BodyTextFirstIndent">
    <w:name w:val="Body Text First Indent"/>
    <w:basedOn w:val="BodyText"/>
    <w:link w:val="BodyTextFirstIndentChar"/>
    <w:rsid w:val="00C6389F"/>
    <w:pPr>
      <w:ind w:firstLine="36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C6389F"/>
    <w:rPr>
      <w:rFonts w:ascii=".VnTime" w:eastAsia="Times New Roman" w:hAnsi=".VnTime"/>
      <w:sz w:val="24"/>
      <w:szCs w:val="24"/>
      <w:lang w:val="en-US" w:eastAsia="en-US"/>
    </w:rPr>
  </w:style>
  <w:style w:type="table" w:styleId="TableGrid">
    <w:name w:val="Table Grid"/>
    <w:basedOn w:val="TableNormal"/>
    <w:rsid w:val="00A2719E"/>
    <w:rPr>
      <w:rFonts w:ascii="Calibri" w:hAnsi="Calibri"/>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E3D64"/>
  </w:style>
  <w:style w:type="character" w:customStyle="1" w:styleId="NormalWebChar">
    <w:name w:val="Normal (Web) Char"/>
    <w:link w:val="NormalWeb"/>
    <w:uiPriority w:val="99"/>
    <w:locked/>
    <w:rsid w:val="003C620B"/>
    <w:rPr>
      <w:rFonts w:eastAsia="Times New Roman"/>
      <w:sz w:val="24"/>
      <w:szCs w:val="24"/>
    </w:rPr>
  </w:style>
  <w:style w:type="paragraph" w:customStyle="1" w:styleId="Dieu">
    <w:name w:val="Dieu"/>
    <w:basedOn w:val="Normal"/>
    <w:qFormat/>
    <w:rsid w:val="00951FFB"/>
    <w:pPr>
      <w:spacing w:before="240" w:after="120" w:line="380" w:lineRule="exact"/>
      <w:ind w:firstLine="720"/>
      <w:jc w:val="both"/>
    </w:pPr>
    <w:rPr>
      <w:rFonts w:eastAsia="Times New Roman"/>
      <w:b/>
      <w:bCs/>
      <w:color w:val="000000"/>
      <w:szCs w:val="29"/>
      <w:lang w:eastAsia="en-ZW"/>
    </w:rPr>
  </w:style>
  <w:style w:type="paragraph" w:customStyle="1" w:styleId="Default">
    <w:name w:val="Default"/>
    <w:rsid w:val="00C57329"/>
    <w:pPr>
      <w:autoSpaceDE w:val="0"/>
      <w:autoSpaceDN w:val="0"/>
      <w:adjustRightInd w:val="0"/>
    </w:pPr>
    <w:rPr>
      <w:color w:val="000000"/>
      <w:sz w:val="24"/>
      <w:szCs w:val="24"/>
    </w:rPr>
  </w:style>
  <w:style w:type="character" w:customStyle="1" w:styleId="s1">
    <w:name w:val="s1"/>
    <w:basedOn w:val="DefaultParagraphFont"/>
    <w:rsid w:val="00C86B08"/>
  </w:style>
  <w:style w:type="character" w:styleId="Hyperlink">
    <w:name w:val="Hyperlink"/>
    <w:basedOn w:val="DefaultParagraphFont"/>
    <w:uiPriority w:val="99"/>
    <w:semiHidden/>
    <w:unhideWhenUsed/>
    <w:rsid w:val="00A81978"/>
    <w:rPr>
      <w:color w:val="0000FF"/>
      <w:u w:val="singl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uiPriority w:val="99"/>
    <w:rsid w:val="000F2198"/>
    <w:pPr>
      <w:spacing w:after="160" w:line="240" w:lineRule="exact"/>
    </w:pPr>
    <w:rPr>
      <w:sz w:val="20"/>
      <w:szCs w:val="20"/>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6C2EF3"/>
    <w:pPr>
      <w:spacing w:after="160" w:line="240" w:lineRule="exact"/>
    </w:pPr>
    <w:rPr>
      <w:rFonts w:ascii="Calibri" w:hAnsi="Calibri"/>
      <w:sz w:val="22"/>
      <w:vertAlign w:val="superscript"/>
      <w:lang w:val="vi-VN" w:eastAsia="vi-VN"/>
    </w:rPr>
  </w:style>
  <w:style w:type="character" w:styleId="Strong">
    <w:name w:val="Strong"/>
    <w:basedOn w:val="DefaultParagraphFont"/>
    <w:uiPriority w:val="99"/>
    <w:qFormat/>
    <w:rsid w:val="00C24C0A"/>
    <w:rPr>
      <w:rFonts w:cs="Times New Roman"/>
      <w:b/>
      <w:bCs/>
    </w:rPr>
  </w:style>
  <w:style w:type="paragraph" w:styleId="EndnoteText">
    <w:name w:val="endnote text"/>
    <w:basedOn w:val="Normal"/>
    <w:link w:val="EndnoteTextChar"/>
    <w:uiPriority w:val="99"/>
    <w:semiHidden/>
    <w:unhideWhenUsed/>
    <w:rsid w:val="005F1947"/>
    <w:rPr>
      <w:sz w:val="20"/>
      <w:szCs w:val="20"/>
    </w:rPr>
  </w:style>
  <w:style w:type="character" w:customStyle="1" w:styleId="EndnoteTextChar">
    <w:name w:val="Endnote Text Char"/>
    <w:basedOn w:val="DefaultParagraphFont"/>
    <w:link w:val="EndnoteText"/>
    <w:uiPriority w:val="99"/>
    <w:semiHidden/>
    <w:rsid w:val="005F1947"/>
  </w:style>
  <w:style w:type="character" w:styleId="EndnoteReference">
    <w:name w:val="endnote reference"/>
    <w:basedOn w:val="DefaultParagraphFont"/>
    <w:uiPriority w:val="99"/>
    <w:semiHidden/>
    <w:unhideWhenUsed/>
    <w:rsid w:val="005F1947"/>
    <w:rPr>
      <w:vertAlign w:val="superscript"/>
    </w:rPr>
  </w:style>
</w:styles>
</file>

<file path=word/webSettings.xml><?xml version="1.0" encoding="utf-8"?>
<w:webSettings xmlns:r="http://schemas.openxmlformats.org/officeDocument/2006/relationships" xmlns:w="http://schemas.openxmlformats.org/wordprocessingml/2006/main">
  <w:divs>
    <w:div w:id="128087524">
      <w:bodyDiv w:val="1"/>
      <w:marLeft w:val="0"/>
      <w:marRight w:val="0"/>
      <w:marTop w:val="0"/>
      <w:marBottom w:val="0"/>
      <w:divBdr>
        <w:top w:val="none" w:sz="0" w:space="0" w:color="auto"/>
        <w:left w:val="none" w:sz="0" w:space="0" w:color="auto"/>
        <w:bottom w:val="none" w:sz="0" w:space="0" w:color="auto"/>
        <w:right w:val="none" w:sz="0" w:space="0" w:color="auto"/>
      </w:divBdr>
    </w:div>
    <w:div w:id="410810642">
      <w:bodyDiv w:val="1"/>
      <w:marLeft w:val="0"/>
      <w:marRight w:val="0"/>
      <w:marTop w:val="0"/>
      <w:marBottom w:val="0"/>
      <w:divBdr>
        <w:top w:val="none" w:sz="0" w:space="0" w:color="auto"/>
        <w:left w:val="none" w:sz="0" w:space="0" w:color="auto"/>
        <w:bottom w:val="none" w:sz="0" w:space="0" w:color="auto"/>
        <w:right w:val="none" w:sz="0" w:space="0" w:color="auto"/>
      </w:divBdr>
    </w:div>
    <w:div w:id="905922426">
      <w:bodyDiv w:val="1"/>
      <w:marLeft w:val="0"/>
      <w:marRight w:val="0"/>
      <w:marTop w:val="0"/>
      <w:marBottom w:val="0"/>
      <w:divBdr>
        <w:top w:val="none" w:sz="0" w:space="0" w:color="auto"/>
        <w:left w:val="none" w:sz="0" w:space="0" w:color="auto"/>
        <w:bottom w:val="none" w:sz="0" w:space="0" w:color="auto"/>
        <w:right w:val="none" w:sz="0" w:space="0" w:color="auto"/>
      </w:divBdr>
    </w:div>
    <w:div w:id="1162160911">
      <w:bodyDiv w:val="1"/>
      <w:marLeft w:val="0"/>
      <w:marRight w:val="0"/>
      <w:marTop w:val="0"/>
      <w:marBottom w:val="0"/>
      <w:divBdr>
        <w:top w:val="none" w:sz="0" w:space="0" w:color="auto"/>
        <w:left w:val="none" w:sz="0" w:space="0" w:color="auto"/>
        <w:bottom w:val="none" w:sz="0" w:space="0" w:color="auto"/>
        <w:right w:val="none" w:sz="0" w:space="0" w:color="auto"/>
      </w:divBdr>
      <w:divsChild>
        <w:div w:id="1075593504">
          <w:marLeft w:val="0"/>
          <w:marRight w:val="0"/>
          <w:marTop w:val="0"/>
          <w:marBottom w:val="120"/>
          <w:divBdr>
            <w:top w:val="none" w:sz="0" w:space="0" w:color="auto"/>
            <w:left w:val="none" w:sz="0" w:space="0" w:color="auto"/>
            <w:bottom w:val="none" w:sz="0" w:space="0" w:color="auto"/>
            <w:right w:val="none" w:sz="0" w:space="0" w:color="auto"/>
          </w:divBdr>
        </w:div>
        <w:div w:id="5325287">
          <w:marLeft w:val="0"/>
          <w:marRight w:val="0"/>
          <w:marTop w:val="0"/>
          <w:marBottom w:val="120"/>
          <w:divBdr>
            <w:top w:val="none" w:sz="0" w:space="0" w:color="auto"/>
            <w:left w:val="none" w:sz="0" w:space="0" w:color="auto"/>
            <w:bottom w:val="none" w:sz="0" w:space="0" w:color="auto"/>
            <w:right w:val="none" w:sz="0" w:space="0" w:color="auto"/>
          </w:divBdr>
        </w:div>
      </w:divsChild>
    </w:div>
    <w:div w:id="1487934215">
      <w:bodyDiv w:val="1"/>
      <w:marLeft w:val="0"/>
      <w:marRight w:val="0"/>
      <w:marTop w:val="0"/>
      <w:marBottom w:val="0"/>
      <w:divBdr>
        <w:top w:val="none" w:sz="0" w:space="0" w:color="auto"/>
        <w:left w:val="none" w:sz="0" w:space="0" w:color="auto"/>
        <w:bottom w:val="none" w:sz="0" w:space="0" w:color="auto"/>
        <w:right w:val="none" w:sz="0" w:space="0" w:color="auto"/>
      </w:divBdr>
    </w:div>
    <w:div w:id="176391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oanh-nghiep/quyet-dinh-360-qd-ttg-2022-phe-duyet-de-an-co-cau-lai-tap-doan-kinh-te-nha-nuoc-2021-2025-507061.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doanh-nghiep/quyet-dinh-22-2021-qd-ttg-tieu-chi-phan-loai-doanh-nghiep-nha-nuoc-sap-xep-lai-thoai-von-479956.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huvienphapluat.vn/van-ban/doanh-nghiep/nghi-dinh-32-2018-nd-cp-sua-doi-nghi-dinh-91-2015-nd-cp-dau-tu-von-nha-nuoc-vao-doanh-nghiep-352927.aspx" TargetMode="External"/><Relationship Id="rId2" Type="http://schemas.openxmlformats.org/officeDocument/2006/relationships/hyperlink" Target="https://thuvienphapluat.vn/van-ban/doanh-nghiep/nghi-dinh-91-2015-nd-cp-dau-tu-von-nha-nuoc-vao-doanh-nghiep-292804.aspx" TargetMode="External"/><Relationship Id="rId1" Type="http://schemas.openxmlformats.org/officeDocument/2006/relationships/hyperlink" Target="https://thuvienphapluat.vn/van-ban/doanh-nghiep/nghi-dinh-126-2017-nd-cp-chuyen-doanh-nghiep-nha-nuoc-nam-giu-100-von-thanh-cong-ty-co-phan-31867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753E7-438C-4628-921D-BCF1744F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Pages>
  <Words>1661</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phamhaian</dc:creator>
  <cp:lastModifiedBy>doanduchieu</cp:lastModifiedBy>
  <cp:revision>22</cp:revision>
  <cp:lastPrinted>2023-06-23T06:47:00Z</cp:lastPrinted>
  <dcterms:created xsi:type="dcterms:W3CDTF">2023-05-17T02:46:00Z</dcterms:created>
  <dcterms:modified xsi:type="dcterms:W3CDTF">2023-09-22T02:01:00Z</dcterms:modified>
</cp:coreProperties>
</file>